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cc51feb0d3a4fee781d94e0051c4de5a663c6"/>
    <w:p>
      <w:pPr>
        <w:pStyle w:val="Heading3"/>
      </w:pPr>
      <w:r>
        <w:t xml:space="preserve">Методические материалы, рекомендации, обзоры, разъяснения и иные документы, подготовленные Минтрудом России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https://mintrud.gov.ru/ministry/anticorruption/Methods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http://basman.mos.ru/anti-corruption/methodical-materials/detail/12711388.html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methodical-materials/detail/12711388.html" TargetMode="External" /><Relationship Type="http://schemas.openxmlformats.org/officeDocument/2006/relationships/hyperlink" Id="rId20" Target="https://mintrud.gov.ru/ministry/anticorruption/Metho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anti-corruption/methodical-materials/detail/12711388.html" TargetMode="External" /><Relationship Type="http://schemas.openxmlformats.org/officeDocument/2006/relationships/hyperlink" Id="rId20" Target="https://mintrud.gov.ru/ministry/anticorruption/Metho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2024-12-27T19:10:36Z</dcterms:created>
  <dcterms:modified xsi:type="dcterms:W3CDTF">2024-12-27T19:10:36Z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