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6ec2f79966027f40cf0aecc119a90f80998c3"/>
    <w:p>
      <w:pPr>
        <w:pStyle w:val="Heading3"/>
      </w:pPr>
      <w:r>
        <w:t xml:space="preserve">Информационно-методический ресурс по вопросам противодействия коррупции на базе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https://gossluzhba.gov.ru/anticorruption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http://basman.mos.ru/anti-corruption/methodical-materials/detail/12711396.html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anti-corruption/methodical-materials/detail/12711396.html" TargetMode="External" /><Relationship Type="http://schemas.openxmlformats.org/officeDocument/2006/relationships/hyperlink" Id="rId20" Target="https://gossluzhba.gov.ru/anticorru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anti-corruption/methodical-materials/detail/12711396.html" TargetMode="External" /><Relationship Type="http://schemas.openxmlformats.org/officeDocument/2006/relationships/hyperlink" Id="rId20" Target="https://gossluzhba.gov.ru/anticorru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2025-01-17T21:14:52Z</dcterms:created>
  <dcterms:modified xsi:type="dcterms:W3CDTF">2025-01-17T21:14:52Z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