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902a9b6a5a71746d54606a3afa63428d1fdc7"/>
    <w:p>
      <w:pPr>
        <w:pStyle w:val="Heading3"/>
      </w:pPr>
      <w:r>
        <w:t xml:space="preserve">План противодействия коррупции в территориальных органах исполнительной власти Центрального административного округа города Москвы на 2025 годы.</w:t>
      </w:r>
    </w:p>
    <w:p>
      <w:pPr>
        <w:pStyle w:val="FirstParagraph"/>
      </w:pPr>
      <w:r>
        <w:t xml:space="preserve">27.06.2025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http://basman.mos.ru/anti-corruption/plans-papers-reports-reviews-static-information-on-combating-corruption/detail/13068190.html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anti-corruption/plans-papers-reports-reviews-static-information-on-combating-corruption/detail/13068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anti-corruption/plans-papers-reports-reviews-static-information-on-combating-corruption/detail/13068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2025-06-29T09:34:16Z</dcterms:created>
  <dcterms:modified xsi:type="dcterms:W3CDTF">2025-06-29T09:34:16Z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