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c00f7f8e587e4f3e46309d9d4e6559171952e"/>
    <w:p>
      <w:pPr>
        <w:pStyle w:val="Heading3"/>
      </w:pPr>
      <w:r>
        <w:t xml:space="preserve">ОПОВЕЩЕНИЕ о начале общественных обсуждений по корректировке проекта межевания территории части квартала № 287 Басманного района, ограниченного Мясницкой улицей, Малым Харитоньевским переулком, переулком Огородная Слобода, Гусятниковым переулком</w:t>
      </w:r>
    </w:p>
    <w:p>
      <w:pPr>
        <w:pStyle w:val="FirstParagraph"/>
      </w:pPr>
      <w:r>
        <w:t xml:space="preserve">30.07.2021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http://basman.mos.ru/electronic-public-discussion/detail/10145472.html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1454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1454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2025-02-10T09:00:15Z</dcterms:created>
  <dcterms:modified xsi:type="dcterms:W3CDTF">2025-02-10T09:00:15Z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