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курор-разъясняет"/>
    <w:p>
      <w:pPr>
        <w:pStyle w:val="Heading3"/>
      </w:pPr>
      <w:r>
        <w:t xml:space="preserve">Прокурор разъясняет</w:t>
      </w:r>
    </w:p>
    <w:p>
      <w:pPr>
        <w:pStyle w:val="FirstParagraph"/>
      </w:pPr>
      <w:r>
        <w:t xml:space="preserve">09.06.2021</w:t>
      </w:r>
    </w:p>
    <w:p>
      <w:pPr>
        <w:pStyle w:val="BodyText"/>
      </w:pPr>
      <w:r>
        <w:rPr>
          <w:bCs/>
          <w:b/>
        </w:rPr>
        <w:t xml:space="preserve">Новый порядок ведения и хранения трудовых книжек</w:t>
      </w:r>
    </w:p>
    <w:p>
      <w:pPr>
        <w:pStyle w:val="BodyText"/>
      </w:pPr>
      <w:r>
        <w:t xml:space="preserve">Приказом Минтруда России от 19.05.2021 № 320н «Об утверждении формы, порядка ведения и хранения трудовых книжек» установлена форма, а также внесены изменения в порядок ведения и хранения трудовых книжек, выдачи дубликата трудовой книжки и трудовой книжки при увольнении или при подаче работником заявления о предоставлении ему работодателем сведений о трудовой деятельности в соответствии со статьей 66.1 Трудового кодекса Российской Федерации.</w:t>
      </w:r>
    </w:p>
    <w:p>
      <w:pPr>
        <w:pStyle w:val="BodyText"/>
      </w:pPr>
      <w:r>
        <w:t xml:space="preserve">Среди нововведений следует отметить возможность работодателей использовать при заполнении трудовых книжек технических средств (путем переноса красителей или в виде оттиска штампа), а также особенности заполнения трудовой книжки дистанционного работника.</w:t>
      </w:r>
    </w:p>
    <w:p>
      <w:pPr>
        <w:pStyle w:val="BodyText"/>
      </w:pPr>
      <w:r>
        <w:t xml:space="preserve">Ранее возложенная на работодателя обязанность об ознакомлении работника с каждой новой записью в трудовой книжке приказом не предусмотрена.</w:t>
      </w:r>
    </w:p>
    <w:p>
      <w:pPr>
        <w:pStyle w:val="BodyText"/>
      </w:pPr>
      <w:r>
        <w:t xml:space="preserve">Впредь при заполнении работодателем трудовой книжки не потребуется присутствие впервые принимаемого на работу сотрудника.</w:t>
      </w:r>
    </w:p>
    <w:p>
      <w:pPr>
        <w:pStyle w:val="BodyText"/>
      </w:pPr>
      <w:r>
        <w:t xml:space="preserve">Изменения коснутся документов кадровой отчетности. Так, в процессе учета и хранения трудовых книжек работодатель самостоятельно будет разрабатывать книги (журналы) по учету бланков трудовых книжек и вкладышей в нее, а также учета движения трудовых книжек. В настоящее время организации ведут такие документы по утвержденным Минтрудом России формам.</w:t>
      </w:r>
    </w:p>
    <w:p>
      <w:pPr>
        <w:pStyle w:val="BodyText"/>
      </w:pPr>
      <w:r>
        <w:t xml:space="preserve">Изменения вступают в законную силу 01.09.2021.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Разъяснения подготовлены помощником Московско-Курского транспортного прокурора К.А. Бижановой</w:t>
      </w:r>
    </w:p>
    <w:p>
      <w:pPr>
        <w:pStyle w:val="BodyText"/>
      </w:pPr>
      <w:r>
        <w:rPr>
          <w:iCs/>
          <w:i/>
        </w:rPr>
        <w:t xml:space="preserve">Заместитель транспортного прокурора Р.С. Корогодин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Определены требования к отчетам соцсетей о выявлении запрещенного контента</w:t>
      </w:r>
    </w:p>
    <w:p>
      <w:pPr>
        <w:pStyle w:val="BodyText"/>
      </w:pPr>
      <w:r>
        <w:t xml:space="preserve">Приказом Роскомнадзора от 31.05.2021 № 63694 «Об утверждении требований к форме, составу и размещению ежегодных отчетов о результатах рассмотрения обращений, поданных с использованием электронной формы для направления обращений о распространяемой с нарушением закона информации» уточнен порядок размещения владельцами социальных сетей ежегодного отчета о результатах мониторинга выявления запрещенного контента, а также о результатах рассмотрения обращений о запрещенном контенте, поданных через соответствующую электронную форму.</w:t>
      </w:r>
    </w:p>
    <w:p>
      <w:pPr>
        <w:pStyle w:val="BodyText"/>
      </w:pPr>
      <w:r>
        <w:t xml:space="preserve">Из текста приказа следует, что отчет подлежит размещению в социальной сети не позднее 1 февраля года, следующего за отчетным периодом, в форме общедоступного электронного документа в формате DOC, DOCX, PDF, XLSX, доступном для скачивания и должен включать, в том числе количество страниц соцсети:</w:t>
      </w:r>
    </w:p>
    <w:p>
      <w:pPr>
        <w:pStyle w:val="BodyText"/>
      </w:pPr>
      <w:r>
        <w:t xml:space="preserve">- на которых размещалась распространяемая с нарушением закона информация;</w:t>
      </w:r>
    </w:p>
    <w:p>
      <w:pPr>
        <w:pStyle w:val="BodyText"/>
      </w:pPr>
      <w:r>
        <w:t xml:space="preserve">- доступ к которым был ограничен, как без направления соответствующей информации на рассмотрение в Роскомнадзор, так и на основании предписаний Роскомнадзора;</w:t>
      </w:r>
    </w:p>
    <w:p>
      <w:pPr>
        <w:pStyle w:val="BodyText"/>
      </w:pPr>
      <w:r>
        <w:t xml:space="preserve">- на которых размещалась информация, которую владелец соцсети не мог самостоятельно оценить на предмет отнесения к противоправной, и которая была направлена на рассмотрение в Роскомнадзор.</w:t>
      </w:r>
    </w:p>
    <w:p>
      <w:pPr>
        <w:pStyle w:val="BodyText"/>
      </w:pPr>
      <w:r>
        <w:t xml:space="preserve">В сведениях о результатах рассмотрения обращений указывается также количество страниц, на которых размещалась информация, в ограничении доступа к которой было отказано.</w:t>
      </w:r>
    </w:p>
    <w:p>
      <w:pPr>
        <w:pStyle w:val="BodyText"/>
      </w:pPr>
      <w:r>
        <w:t xml:space="preserve">Сведения указываются в ежегодном отчете в общем количестве, а также с дифференциацией по видам запрещенной информации.</w:t>
      </w:r>
    </w:p>
    <w:p>
      <w:pPr>
        <w:pStyle w:val="BodyText"/>
      </w:pPr>
      <w:r>
        <w:t xml:space="preserve">Приказ вступает в силу с 01.09.2021.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Разъяснения подготовлены помощником Московско-Курского транспортного прокурора К.А. Бижановой</w:t>
      </w:r>
    </w:p>
    <w:p>
      <w:pPr>
        <w:pStyle w:val="BodyText"/>
      </w:pPr>
      <w:r>
        <w:rPr>
          <w:iCs/>
          <w:i/>
        </w:rPr>
        <w:t xml:space="preserve">Заместитель транспортного прокурора Р.С. Корогодин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http://basman.mos.ru/presscenter/important-information/detail/10017604.html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00176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00176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2023-08-23T07:11:51Z</dcterms:created>
  <dcterms:modified xsi:type="dcterms:W3CDTF">2023-08-23T07:11:51Z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