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енний-городской-фестиваль-гто"/>
    <w:p>
      <w:pPr>
        <w:pStyle w:val="Heading3"/>
      </w:pPr>
      <w:r>
        <w:t xml:space="preserve">Весенний городской Фестиваль ГТО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t xml:space="preserve">14 мая 2022 г. на спортивной базе АО «Олимпийский комплекс «Лужники» запланировано проведение городского спортивного праздника «Весенний городской Фестиваль ГТО».</w:t>
      </w:r>
    </w:p>
    <w:p>
      <w:pPr>
        <w:pStyle w:val="BodyText"/>
      </w:pPr>
      <w:r>
        <w:t xml:space="preserve">Мероприятие имеет высокую социальную значимость для спортивной жизни города Москвы, его участниками являются москвичи – любители массового спорта</w:t>
      </w:r>
    </w:p>
    <w:p>
      <w:pPr>
        <w:pStyle w:val="BodyText"/>
      </w:pPr>
      <w:r>
        <w:t xml:space="preserve">и здорового образа жизни. Проведение Мероприятия будет способствовать дальнейшей популяризации физической культуры и массового спорта среди населения, а также активного отдыха на их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http://basman.mos.ru/presscenter/important-information/detail/10747946.html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747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747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2023-08-23T08:33:26Z</dcterms:created>
  <dcterms:modified xsi:type="dcterms:W3CDTF">2023-08-23T08:33:26Z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