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разъяснение-законодательства"/>
    <w:p>
      <w:pPr>
        <w:pStyle w:val="Heading3"/>
      </w:pPr>
      <w:r>
        <w:t xml:space="preserve">Разъяснение законодательства</w:t>
      </w:r>
    </w:p>
    <w:p>
      <w:pPr>
        <w:pStyle w:val="FirstParagraph"/>
      </w:pPr>
      <w:r>
        <w:t xml:space="preserve">11.11.2022</w:t>
      </w:r>
    </w:p>
    <w:p>
      <w:pPr>
        <w:pStyle w:val="BodyText"/>
      </w:pPr>
      <w:r>
        <w:t xml:space="preserve">Государственная Дума приняла во втором чтении законопроект о противодействии хищениям с банковских карт граждан Законопроектом предлагается создать механизм информационного взаимодействия Банка России и МВД. МВД будет передавать ЦБ данные о действиях, связанных с попытками перевода денег без согласия клиента. Банк России, в свою очередь, будет передавать МВД сведения из базы данных о попытках совершения противоправных операций. Это позволит незамедлительно приступать к проведению оперативно-розыскных мероприятий (сейчас банки иногда только через 30 дней отвечают на запросы МВД по хищениям). У следствия появится возможность блокировать всю цепочку счетов в рамках одного уголовного дела. Предполагается, что это значительно усложнит преступникам поиск каналов для вывода похищенных средств.</w:t>
      </w:r>
    </w:p>
    <w:p>
      <w:pPr>
        <w:pStyle w:val="BodyText"/>
      </w:pPr>
      <w:r>
        <w:t xml:space="preserve">Банки с 1 октября этого года для защиты клиентов от действий кибермошенников обязаны идентифицировать устройства, с которых граждане проводят онлайн-операции, а также подтверждать их телефонные номера и адреса электронной почты. Соответствующие требования описаны в указании Центральный Банк РФ, которое вносит изменения в положение Банка России №683-П "Об установлении обязательных для кредитных организаций требований к обеспечению защиты информации при осуществлении банковской деятельности в целях противодействия осуществлению переводов денежных средств без согласия клиента". Некоторые банки уже используют эти меры для защиты клиентов, но с 1 октября эти правила стали обязательными для всех кредитных организаций. «Даже если преступники выманят пароли и коды для доступа в Интернет или мобильный банк, им не удастся войти в ваш личный кабинет со своего гаджета. Как только банк заметит подмену, он свяжется с вами и уточнит, вы ли заходите с другого устройства», – поясняет Центральный Банк РФ.</w:t>
      </w:r>
    </w:p>
    <w:p>
      <w:pPr>
        <w:pStyle w:val="BodyText"/>
      </w:pPr>
      <w:r>
        <w:t xml:space="preserve">______________________</w:t>
      </w:r>
    </w:p>
    <w:p>
      <w:pPr>
        <w:pStyle w:val="BodyText"/>
      </w:pPr>
      <w:r>
        <w:t xml:space="preserve">Госдума приняла закон о кредитных каникулах для мобилизованных, контрактников и добровольцев В соответствии с законопроектом, военнослужащему-заемщику предоставляется право обратиться к кредитору с требованием об изменении условий договора, предусматривающим приостановление исполнения обязательств на срок, не превышающий срока военной службы, или об уменьшении размера платежей в течение льготного периода. Сделать это возможно будет в любой момент в течение действия договора, но не позднее 31 декабря 2023 года и только в том случае, если по этому кредиту отсрочка ранее не предоставлялась. Каникулы могут быть установлены не ранее 21 сентября. Ограничение «одни каникулы на один кредит» на мобилизованных не распространится. Кредитные каникулы смогут оформить граждане, заключившие контракт не только с Минобороны, но также с Росгвардией, МЧС, ФСБ и рядом других служб.</w:t>
      </w:r>
    </w:p>
    <w:p>
      <w:pPr>
        <w:pStyle w:val="BodyText"/>
      </w:pPr>
      <w:r>
        <w:t xml:space="preserve">____________________</w:t>
      </w:r>
    </w:p>
    <w:p>
      <w:pPr>
        <w:pStyle w:val="BodyText"/>
      </w:pPr>
      <w:r>
        <w:br/>
      </w:r>
    </w:p>
    <w:p>
      <w:pPr>
        <w:pStyle w:val="BodyText"/>
      </w:pPr>
      <w:r>
        <w:br/>
      </w:r>
    </w:p>
    <w:p>
      <w:pPr>
        <w:pStyle w:val="BodyText"/>
      </w:pPr>
      <w:r>
        <w:t xml:space="preserve">НОВОЕ УНИВЕРСАЛЬНОЕ ПОСОБИЕ</w:t>
      </w:r>
    </w:p>
    <w:p>
      <w:pPr>
        <w:pStyle w:val="BodyText"/>
      </w:pPr>
      <w:r>
        <w:t xml:space="preserve">С 1 января 2023 года будет введено универсальное пособие для семей с низкими доходами. Оно объединит целый ряд выплат: ежемесячное пособие беременным женщинам; ежемесячное пособие по уходу за ребёнком до полутора лет для неработающих родителей; пособие на 1,2 и 3 ребёнка до 3 лет; а также на детей от 3 до 7 лет и от 8 до 17 лет. Также будет трехступенчатый размер выплат. Например, как сейчас по пособиям на детей 3-7 и 8-17 лет: 50 % от ПМ на ребёнка; 75 % ПМ на ребёнка или 100 % ПМ на ребенка. Т.е. максимальный размер ежемесячного пособия беременным женщинам будет увеличен вдвое! Для оформления универсального пособия необходимо подать одно заявление через портал госуслуг, МФЦ или Фонд пенсионного и социального страхования (который объединит в себе ПФР и ФСС). ВАЖНО: оформить выплату из средств материнского капитала можно будет при желании на всех детей до 3 лет, вне зависимости от очередности рождения, если доход семьи — меньше двух ПМ на человека.</w:t>
      </w:r>
    </w:p>
    <w:p>
      <w:pPr>
        <w:pStyle w:val="BodyText"/>
      </w:pPr>
      <w:r>
        <w:t xml:space="preserve">РАЗМЕР МАТКАПИТАЛА УВЕЛИЧИТСЯ Размер материнского капитала с 1 февраля 2023 года увеличится: на 65,5 тыс. руб. и составит 589,5 тыс. руб. на первого малыша; на второго увеличится на 85,9 тыс. руб., до 779 тыс. руб. Суммы проиндексируют на 12,4%. Также в проекте ПФР определило размер материнского капитала на 2024 год (653 тыс. руб. и 864 тыс. руб.) и 2025 год (680 тыс. руб. и 898 тыс. руб.).</w:t>
      </w:r>
    </w:p>
    <w:p>
      <w:pPr>
        <w:pStyle w:val="BodyText"/>
      </w:pPr>
      <w:r>
        <w:t xml:space="preserve">________________________________</w:t>
      </w:r>
    </w:p>
    <w:p>
      <w:pPr>
        <w:pStyle w:val="BodyText"/>
      </w:pPr>
      <w:r>
        <w:t xml:space="preserve">С 7 октября действуют поправки к ТК РФ, которые связаны с военной службой и мобилизацией опубликовали закон с трудовыми гарантиями для мобилизованных сотрудников, тех, кто проходит военную службу по контракту и добровольно выполняет задачи ВС РФ. Установили правила увольнения таких работников. Подробнее об основных новшествах. Приостановка трудового договора если работника призвали по мобилизации, он заключил контракт о военной службе либо о добровольном содействии ВС РФ, то действие трудового договора приостанавливают. На это время за работником сохраняют место. Период приостановки засчитывают в трудовой стаж, который дает право на отпуск. Работодатель издает приказ о приостановке трудового договора на основании заявления сотрудника. К нему прилагают копию повестки о призыве по мобилизации или уведомление о заключении контракта. Пока работник отсутствует на его место можно принять другого специалиста по срочному трудовому договору. Оплата не позже дня, в который приостановили трудовой договор, сотруднику нужно перечислить зарплату и причитающиеся выплаты за отработанный период. Нельзя отменять гарантии, которые предоставили до приостановки трудового договора, например, ДМС или негосударственное пенсионное обеспечение. Возобновление трудового договора Действие приостановленного трудового договора возобновят в день выхода сотрудника на работу. Об этом он должен предупредить не позже, чем за 3 рабочих дня. Место сотруднику предоставят в течение 3 месяцев после окончания службы или контракта (п. 9 ст. 1 закона). Увольнение пока трудовой договор приостановлен, расторгать его по инициативе работодателя нельзя. Исключения — закончился срок, организацию или ИП ликвидировали. Если после службы, окончания контракта сотрудник в течение 3 месяцев не приступил к обязанностям, то его можно уволить по отдельному основанию. Также запретили расторгать трудовой договор по не зависящим от воли сторон обстоятельствам в случае призыва по мобилизации.</w:t>
      </w:r>
    </w:p>
    <w:p>
      <w:pPr>
        <w:pStyle w:val="BodyText"/>
      </w:pPr>
      <w:r>
        <w:t xml:space="preserve">Отпуск Работнику в течение 6 месяцев после того, как возобновили трудовой договор, нужно предоставить ежегодный отпуск в удобное для него время. При этом стаж работы не учитывают. Преимущество при сокращении Сотрудник с ребенком в возрасте до 18 лет имеет преимущественное право остаться на работе при сокращении, если второго родителя призвали на военную службу. Большинство положений закона распространили на правоотношения, которые возникли с 21 сентября. Документ: Федеральный закон от 07.10.2022 № 376-ФЗ «О внесении изменений в Трудовой кодекс Российской Федерации».</w:t>
      </w:r>
    </w:p>
    <w:p>
      <w:pPr>
        <w:pStyle w:val="BodyText"/>
      </w:pPr>
      <w:r>
        <w:t xml:space="preserve">______________________________</w:t>
      </w:r>
    </w:p>
    <w:p>
      <w:pPr>
        <w:pStyle w:val="BodyText"/>
      </w:pPr>
      <w:r>
        <w:br/>
      </w:r>
    </w:p>
    <w:p>
      <w:pPr>
        <w:pStyle w:val="BodyText"/>
      </w:pPr>
      <w:r>
        <w:t xml:space="preserve">ИСПОЛЬЗОВАНИЕ МАТКАПИТАЛА</w:t>
      </w:r>
    </w:p>
    <w:p>
      <w:pPr>
        <w:pStyle w:val="BodyText"/>
      </w:pPr>
      <w:r>
        <w:t xml:space="preserve">Теперь материнский капитал можно использовать для оплаты уроков от частных преподавателей или услуг негосударственного детского сада и школы. Но, как уточнило Правительство России, у них должна быть государственная лицензия на образовательную деятельность. "Правительство расширило возможности использования материнского капитала. Родители смогут использовать средства маткапитала, чтобы оплатить услуги частных преподавателей, негосударственного детского сада или школы", — говорится в телеграм-канале Правительства России. Для оплаты родителям необходимо предоставить заявление и заключённый с ИП договор с расчётом стоимости. Сделать это можно в Пенсионном фонде, в МФЦ, через портал госуслуг или сайт Пенсионного фонда.</w:t>
      </w:r>
    </w:p>
    <w:p>
      <w:pPr>
        <w:pStyle w:val="BodyText"/>
      </w:pPr>
      <w:r>
        <w:t xml:space="preserve">____________________________</w:t>
      </w:r>
    </w:p>
    <w:p>
      <w:pPr>
        <w:pStyle w:val="BodyText"/>
      </w:pPr>
      <w:r>
        <w:br/>
      </w:r>
      <w:r>
        <w:t xml:space="preserve">ПРОГРАММА «СЕМЕЙНАЯ ИПОТЕКА» ПРОДЛЕНА ДО 1 ИЮЛЯ 2024г.</w:t>
      </w:r>
    </w:p>
    <w:p>
      <w:pPr>
        <w:pStyle w:val="BodyText"/>
      </w:pPr>
      <w:r>
        <w:t xml:space="preserve">Условия: Льготная ипотека распространяется на семьи, где ребенок родился с 1 января 2018 года до 31 декабря 2023 года. Срок заключения кредитного договора продлевается на год вперед – до 1 июля 2024 года. Льготная ставка по программе – до 6%. Максимальный размер субсидируемого кредита по льготной ставке в Москве, Санкт-Петербурге, Московской и Ленинградской областях составляет 12 млн рублей, в других регионах – 6 млн рублей.</w:t>
      </w:r>
      <w:r>
        <w:br/>
      </w:r>
      <w:r>
        <w:t xml:space="preserve">КАК ВЕРНУТЬ ЧАСТЬ ДЕНЕГ ПРИ ПОКУПКЕ ЖИЛЬЯ.</w:t>
      </w:r>
    </w:p>
    <w:p>
      <w:pPr>
        <w:pStyle w:val="BodyText"/>
      </w:pPr>
      <w:r>
        <w:t xml:space="preserve">Имущественный вычет — это возврат суммы налога, уплаченного с полученных доходов покупателя недвижимости. Размер имущественного вычета получить имущественный вычет можно на 2 млн рублей. Максимальная сумма составит 260 000 рублей (13% подоходного налога от 2 млн рублей). Если квартиру приобретают супруги, состоящие в официальном браке, они оба имеют право на вычет – тогда максимальная сумма выплат увеличивается до 520 000 рублей.</w:t>
      </w:r>
    </w:p>
    <w:p>
      <w:pPr>
        <w:pStyle w:val="BodyText"/>
      </w:pPr>
      <w:r>
        <w:t xml:space="preserve">Когда нельзя получить вычет при отсутствии официального дохода с уплатой подоходного налога. При покупке квартиры у близкого родственника. Даже если сделка оформлена по всем правилам, при такой купле-продаже вычет не положен. При отсутствии документов, которые подтверждают покупку квартиры и вступление в право собственности. Если ранее человек уже получал имущественный вычет.</w:t>
      </w:r>
    </w:p>
    <w:p>
      <w:pPr>
        <w:pStyle w:val="BodyText"/>
      </w:pPr>
      <w:r>
        <w:t xml:space="preserve">Как оформить вычет. Подавать документы на получение вычета можно сразу после завершения сделки. Если вы покупаете квартиру в недостроенном доме – после того, как здание сдано в эксплуатацию и подписания акта приема-передачи жилья. Подать документы можно через налоговую или работодателя. Через работодателя подать заявление на вычет можно до конца календарного года, и справка по форме 3-НДФЛ вам не потребуется.</w:t>
      </w:r>
    </w:p>
    <w:p>
      <w:pPr>
        <w:pStyle w:val="BodyText"/>
      </w:pPr>
      <w:r>
        <w:t xml:space="preserve">Есть и более простой способ. Как поясняют в Роскачестве, для этого нужно заполнить заявление в кабинете налогоплательщика на сайте ФНС. Справку по форме 3-НДФЛ и пакет документов в этом случае направлять никуда не нужно. Автоматизированная система ФНС сама обратится в необходимые инстанции и подтвердит факт покупки жилья. Такая проверка занимает до 30 дней. После ее завершения еще в течение 15 дней на ваш счет должны перечислить деньги.</w:t>
      </w:r>
    </w:p>
    <w:p>
      <w:pPr>
        <w:pStyle w:val="BodyText"/>
      </w:pPr>
      <w:r>
        <w:t xml:space="preserve">_____________________________________</w:t>
      </w:r>
    </w:p>
    <w:p>
      <w:pPr>
        <w:pStyle w:val="BodyText"/>
      </w:pPr>
      <w:r>
        <w:br/>
      </w:r>
    </w:p>
    <w:p>
      <w:pPr>
        <w:pStyle w:val="BodyText"/>
      </w:pPr>
      <w:r>
        <w:t xml:space="preserve">Адрес страницы:</w:t>
      </w:r>
      <w:r>
        <w:t xml:space="preserve"> </w:t>
      </w:r>
      <w:hyperlink r:id="rId20">
        <w:r>
          <w:rPr>
            <w:rStyle w:val="Hyperlink"/>
          </w:rPr>
          <w:t xml:space="preserve">http://basman.mos.ru/presscenter/important-information/detail/11217054.html</w:t>
        </w:r>
      </w:hyperlink>
    </w:p>
    <w:p>
      <w:pPr>
        <w:pStyle w:val="BodyText"/>
      </w:pPr>
      <w:hyperlink r:id="rId21">
        <w:r>
          <w:rPr>
            <w:rStyle w:val="Hyperlink"/>
          </w:rPr>
          <w:t xml:space="preserve">Управа Басманного района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basman.mos.ru" TargetMode="External" /><Relationship Type="http://schemas.openxmlformats.org/officeDocument/2006/relationships/hyperlink" Id="rId20" Target="http://basman.mos.ru/presscenter/important-information/detail/11217054.html" TargetMode="External" /></Relationships>
</file>

<file path=word/_rels/footnotes.xml.rels><?xml version="1.0" encoding="UTF-8"?><Relationships xmlns="http://schemas.openxmlformats.org/package/2006/relationships"><Relationship Type="http://schemas.openxmlformats.org/officeDocument/2006/relationships/hyperlink" Id="rId21" Target="http://basman.mos.ru" TargetMode="External" /><Relationship Type="http://schemas.openxmlformats.org/officeDocument/2006/relationships/hyperlink" Id="rId20" Target="http://basman.mos.ru/presscenter/important-information/detail/11217054.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2023-08-23T07:11:47Z</dcterms:created>
  <dcterms:modified xsi:type="dcterms:W3CDTF">2023-08-23T07:11:47Z</dcterms:modified>
</cp:coreProperties>
</file>

<file path=docProps/custom.xml><?xml version="1.0" encoding="utf-8"?>
<Properties xmlns="http://schemas.openxmlformats.org/officeDocument/2006/custom-properties" xmlns:vt="http://schemas.openxmlformats.org/officeDocument/2006/docPropsVTypes"/>
</file>