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сероссийская-акция-диктант-жкх"/>
    <w:p>
      <w:pPr>
        <w:pStyle w:val="Heading3"/>
      </w:pPr>
      <w:r>
        <w:t xml:space="preserve">Всероссийская акция «Диктант ЖКХ»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t xml:space="preserve">Акция «Диктант ЖКХ» пройдет в офлайн и онлайн-форматах на портале «Школа ЖКХ» </w:t>
      </w:r>
      <w:hyperlink r:id="rId20">
        <w:r>
          <w:rPr>
            <w:rStyle w:val="Hyperlink"/>
          </w:rPr>
          <w:t xml:space="preserve">(https:\\life.er.ru</w:t>
        </w:r>
      </w:hyperlink>
      <w:r>
        <w:t xml:space="preserve">). По итогам успешно пройденного тестирования каждый участник получит электронный сертификат, удостоверяющий полученный результат. По итогам проведения онлайн-тестирования будет сформирован «Рейтинг грамотности регионов в сфере ЖКХ». Рейтинг формируется исходя из количества граждан, успешно прошедших тестирование, разделенных на общее количество жителей региона.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http://basman.mos.ru/presscenter/important-information/detail/11433902.html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\\life.er.ru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1433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\\life.er.ru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1433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2023-08-23T07:10:33Z</dcterms:created>
  <dcterms:modified xsi:type="dcterms:W3CDTF">2023-08-23T07:10:33Z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