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afc80e079e1ca7b381340d4a208f1a5f180ca"/>
    <w:p>
      <w:pPr>
        <w:pStyle w:val="Heading3"/>
      </w:pPr>
      <w:r>
        <w:t xml:space="preserve">Уточнены правила установки счетчиков в МКД, подлежащих капремонту</w:t>
      </w:r>
    </w:p>
    <w:p>
      <w:pPr>
        <w:pStyle w:val="FirstParagraph"/>
      </w:pPr>
      <w:r>
        <w:t xml:space="preserve">07.06.2023</w:t>
      </w:r>
    </w:p>
    <w:p>
      <w:pPr>
        <w:pStyle w:val="BodyText"/>
      </w:pPr>
      <w:r>
        <w:t xml:space="preserve">14 апреля 2023 г. Федеральным законом № 133-ФЗ внесены изменения в статью 13 Федерального закона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>
      <w:pPr>
        <w:pStyle w:val="BodyText"/>
      </w:pPr>
      <w:r>
        <w:t xml:space="preserve">Дополнен перечень объектов недвижимости, в которых не нужно устанавливать приборы учета энергоресурсов:</w:t>
      </w:r>
    </w:p>
    <w:p>
      <w:pPr>
        <w:pStyle w:val="BodyText"/>
      </w:pPr>
      <w:r>
        <w:t xml:space="preserve">- на ветхие, аварийные объекты, на объекты, не являющиеся многоквартирными домами, подлежащие сносу или капитальному ремонту, а также на объекты, максимальный объем потребления природного газа которых составляет менее чем два кубических метра в час (в отношении организации учета используемого природного газа);</w:t>
      </w:r>
    </w:p>
    <w:p>
      <w:pPr>
        <w:pStyle w:val="BodyText"/>
      </w:pPr>
      <w:r>
        <w:t xml:space="preserve">- на многоквартирные дома, физический износ основных конструктивных элементов которых превышает семьдесят процентов и которые не включены</w:t>
      </w:r>
    </w:p>
    <w:p>
      <w:pPr>
        <w:pStyle w:val="BodyText"/>
      </w:pPr>
      <w:r>
        <w:t xml:space="preserve">в соответствии с жилищным законодательством в региональные программы капитального ремонта общего имущества в многоквартирных домах в связи</w:t>
      </w:r>
    </w:p>
    <w:p>
      <w:pPr>
        <w:pStyle w:val="BodyText"/>
      </w:pPr>
      <w:r>
        <w:t xml:space="preserve">с принятием нормативным правовым актом субъекта Российской Федерации решения об их сносе или реконструкции;</w:t>
      </w:r>
    </w:p>
    <w:p>
      <w:pPr>
        <w:pStyle w:val="BodyText"/>
      </w:pPr>
      <w:r>
        <w:t xml:space="preserve">- на многоквартирные дома, включенные в соответствии с жилищным законодательством в региональные программы капитального ремонта общего имущества в многоквартирных домах, работы по капитальному ремонту общего имущества в которых на основании нормативного правового акта субъекта Российской Федерации включают в себя работы по замене и (или) восстановлению инженерных сетей многоквартирного дома, услуги и (или) работы по установке автоматизированных информационно-измерительных систем учета потребления коммунальных ресурсов и коммунальных услуг, установке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</w:t>
      </w:r>
    </w:p>
    <w:p>
      <w:pPr>
        <w:pStyle w:val="BodyText"/>
      </w:pPr>
      <w:r>
        <w:t xml:space="preserve">и которые должны быть реализованы в соответствии с указанными программами</w:t>
      </w:r>
    </w:p>
    <w:p>
      <w:pPr>
        <w:pStyle w:val="BodyText"/>
      </w:pPr>
      <w:r>
        <w:t xml:space="preserve">в течение трех лет;</w:t>
      </w:r>
    </w:p>
    <w:p>
      <w:pPr>
        <w:pStyle w:val="BodyText"/>
      </w:pPr>
      <w:r>
        <w:t xml:space="preserve">- на многоквартирные дома, которые включены в программу реновации жилищного фонда, осуществляемой в соответствии с федеральным законом,</w:t>
      </w:r>
    </w:p>
    <w:p>
      <w:pPr>
        <w:pStyle w:val="BodyText"/>
      </w:pPr>
      <w:r>
        <w:t xml:space="preserve">и в которых мероприятия, выполняемые в соответствии с данной программой, должны быть реализованы в течение трех лет.</w:t>
      </w:r>
    </w:p>
    <w:p>
      <w:pPr>
        <w:pStyle w:val="BodyText"/>
      </w:pPr>
      <w:r>
        <w:t xml:space="preserve">Действие закона в новой редакции распространяется на многоквартирные дома, включенные в региональную программу капитального ремонта до дня вступления в силу принятых изменений.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http://basman.mos.ru/presscenter/important-information/detail/11637619.html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16376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16376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2025-06-27T08:49:38Z</dcterms:created>
  <dcterms:modified xsi:type="dcterms:W3CDTF">2025-06-27T08:49:38Z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