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нлайн-вебинар-для-налогоплательщиков"/>
    <w:p>
      <w:pPr>
        <w:pStyle w:val="Heading3"/>
      </w:pPr>
      <w:r>
        <w:t xml:space="preserve">Онлайн-вебинар для налогоплательщиков</w:t>
      </w:r>
    </w:p>
    <w:p>
      <w:pPr>
        <w:pStyle w:val="FirstParagraph"/>
      </w:pPr>
      <w:r>
        <w:t xml:space="preserve">09.06.2023</w:t>
      </w:r>
    </w:p>
    <w:p>
      <w:pPr>
        <w:pStyle w:val="BodyText"/>
      </w:pPr>
      <w:r>
        <w:drawing>
          <wp:inline>
            <wp:extent cx="5334000" cy="77022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presscenter/FNS/vebinary-23/Вебинар-2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22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http://basman.mos.ru/presscenter/important-information/detail/11643071.html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643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643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2025-06-27T16:51:43Z</dcterms:created>
  <dcterms:modified xsi:type="dcterms:W3CDTF">2025-06-27T16:51:43Z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