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274019c06e71177cf6abfe6ec643a6b8fb6e4"/>
    <w:p>
      <w:pPr>
        <w:pStyle w:val="Heading3"/>
      </w:pPr>
      <w:r>
        <w:t xml:space="preserve">О предоставлении уведомлений об исчисленных суммах налогов, сборов, авансовых платежей по налогам, страховых взносов по имущественным налогам</w:t>
      </w:r>
    </w:p>
    <w:p>
      <w:pPr>
        <w:pStyle w:val="FirstParagraph"/>
      </w:pPr>
      <w:r>
        <w:t xml:space="preserve">20.07.2023</w:t>
      </w:r>
    </w:p>
    <w:p>
      <w:pPr>
        <w:pStyle w:val="BodyText"/>
      </w:pPr>
      <w:r>
        <w:drawing>
          <wp:inline>
            <wp:extent cx="5334000" cy="77022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presscenter/FNS/Памятка-2023/О-предоставлении-уведомлений-об-исчисленных-суммах-налог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22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http://basman.mos.ru/presscenter/important-information/detail/11725566.html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725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725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2025-02-28T08:14:45Z</dcterms:created>
  <dcterms:modified xsi:type="dcterms:W3CDTF">2025-02-28T08:14:45Z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