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0080050ed136c48931352d7d32e8188151b34c8"/>
    <w:p>
      <w:pPr>
        <w:pStyle w:val="Heading3"/>
      </w:pPr>
      <w:r>
        <w:t xml:space="preserve">ИФНС России №1 информирует о проведении вебинаров в 4 квартале 2023 года</w:t>
      </w:r>
    </w:p>
    <w:p>
      <w:pPr>
        <w:pStyle w:val="FirstParagraph"/>
      </w:pPr>
      <w:r>
        <w:t xml:space="preserve">12.10.2023</w:t>
      </w:r>
    </w:p>
    <w:p>
      <w:pPr>
        <w:pStyle w:val="BodyText"/>
      </w:pPr>
      <w:r>
        <w:drawing>
          <wp:inline>
            <wp:extent cx="5334000" cy="770229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asman.mos.ru/www/presscenter/FNS/vebinary-23/Плакат-вебинары-4-кв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70229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http://basman.mos.ru/presscenter/important-information/detail/11894690.html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basman.mos.ru" TargetMode="External" /><Relationship Type="http://schemas.openxmlformats.org/officeDocument/2006/relationships/hyperlink" Id="rId23" Target="http://basman.mos.ru/presscenter/important-information/detail/1189469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asman.mos.ru" TargetMode="External" /><Relationship Type="http://schemas.openxmlformats.org/officeDocument/2006/relationships/hyperlink" Id="rId23" Target="http://basman.mos.ru/presscenter/important-information/detail/1189469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2025-02-27T15:43:31Z</dcterms:created>
  <dcterms:modified xsi:type="dcterms:W3CDTF">2025-02-27T15:43:31Z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