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3101719aa3169871a834be009c4b736859b5a"/>
    <w:p>
      <w:pPr>
        <w:pStyle w:val="Heading3"/>
      </w:pPr>
      <w:r>
        <w:t xml:space="preserve">Налоговое уведомление и как его исполнить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Обязанность по ежегодному исчислению в отношении транспортных средств и недвижимого имущества налогоплательщиков-физических лиц транспортного налога, земельного налога, налога на имущество физических лиц возложена на налоговые органы (пункт 2 статьи 52 Налогового кодекса Российской Федерации, далее – Кодекс).</w:t>
      </w:r>
    </w:p>
    <w:p>
      <w:pPr>
        <w:pStyle w:val="BodyText"/>
      </w:pPr>
      <w: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налогоплательщикам-физическим лицам налоговые уведомления для уплаты налогов.</w:t>
      </w:r>
      <w:r>
        <w:t xml:space="preserve"> </w:t>
      </w:r>
      <w:bookmarkStart w:id="20" w:name="Par2"/>
      <w:bookmarkEnd w:id="20"/>
    </w:p>
    <w:p>
      <w:pPr>
        <w:pStyle w:val="BodyText"/>
      </w:pPr>
      <w:r>
        <w:t xml:space="preserve"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(QR-код, штрих-код, УИН, банковские реквизиты платежа).</w:t>
      </w:r>
    </w:p>
    <w:p>
      <w:pPr>
        <w:pStyle w:val="BodyText"/>
      </w:pPr>
      <w:r>
        <w:t xml:space="preserve">В случае, если общая сумма налогов, исчисленных налоговым органом, составляет менее 100 рублей, налоговое уведомление не направляется,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уведомления.</w:t>
      </w:r>
    </w:p>
    <w:p>
      <w:pPr>
        <w:pStyle w:val="BodyText"/>
      </w:pPr>
      <w:r>
        <w:t xml:space="preserve">Налоговое</w:t>
      </w:r>
      <w:r>
        <w:t xml:space="preserve"> </w:t>
      </w:r>
      <w:hyperlink r:id="rId21">
        <w:r>
          <w:rPr>
            <w:rStyle w:val="Hyperlink"/>
          </w:rPr>
          <w:t xml:space="preserve">уведомление</w:t>
        </w:r>
      </w:hyperlink>
      <w:r>
        <w:t xml:space="preserve"> </w:t>
      </w:r>
      <w:r>
        <w:t xml:space="preserve">может быть направлено налогоплательщику по почте заказным письмом или передано в электронной форме через личный кабинет налогоплательщика, начиная с 01.07.2023 – через личный кабинет на едином портале государственных и муниципальных услуг.</w:t>
      </w:r>
    </w:p>
    <w:p>
      <w:pPr>
        <w:pStyle w:val="BodyText"/>
      </w:pPr>
      <w: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с даты направления заказного письма.</w:t>
      </w:r>
    </w:p>
    <w:p>
      <w:pPr>
        <w:pStyle w:val="BodyText"/>
      </w:pPr>
      <w:r>
        <w:t xml:space="preserve">Налогоплательщик (его</w:t>
      </w:r>
      <w:r>
        <w:t xml:space="preserve"> </w:t>
      </w:r>
      <w:hyperlink r:id="rId22">
        <w:r>
          <w:rPr>
            <w:rStyle w:val="Hyperlink"/>
          </w:rPr>
          <w:t xml:space="preserve">законный</w:t>
        </w:r>
      </w:hyperlink>
      <w:r>
        <w:t xml:space="preserve"> </w:t>
      </w:r>
      <w:r>
        <w:t xml:space="preserve">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(МФЦ) на основании заявления о выдаче налогового уведомления.</w:t>
      </w:r>
    </w:p>
    <w:p>
      <w:pPr>
        <w:pStyle w:val="BodyText"/>
      </w:pPr>
      <w:r>
        <w:t xml:space="preserve">Налоговое уведомление передается налогоплательщику (его законному или 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</w:t>
      </w:r>
    </w:p>
    <w:p>
      <w:pPr>
        <w:pStyle w:val="BodyText"/>
      </w:pPr>
      <w:r>
        <w:t xml:space="preserve">Налоговое уведомление за налоговый период 2022 года должно быть исполнено (налоги в нём оплачены) не позднее 1 декабря 2023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http://basman.mos.ru/presscenter/important-information/detail/11894738.html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894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52C97BCA316C18EC794E3A00FBFD3ED8B33AA38E433935002DC8EEF1761FD358981D23FAFCDE9EBF92625CA00B41E87626E13DA941D0D366I70BH" TargetMode="External" /><Relationship Type="http://schemas.openxmlformats.org/officeDocument/2006/relationships/hyperlink" Id="rId22" Target="consultantplus://offline/ref=96DA80ECADC330BAF129C43A7C4211C1101317633752A1BA039446D53F0CEC6214475A04DB388EB507D07D2833g9I" TargetMode="External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894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2025-02-27T19:05:12Z</dcterms:created>
  <dcterms:modified xsi:type="dcterms:W3CDTF">2025-02-27T19:05:12Z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