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ee0f6fe7a032498ec3ef35af0b4e94d519ba04"/>
    <w:p>
      <w:pPr>
        <w:pStyle w:val="Heading3"/>
      </w:pPr>
      <w:r>
        <w:t xml:space="preserve">Основные изменения в налогообложении имущества физических лиц</w:t>
      </w:r>
    </w:p>
    <w:p>
      <w:pPr>
        <w:pStyle w:val="FirstParagraph"/>
      </w:pPr>
      <w:r>
        <w:t xml:space="preserve">12.10.2023</w:t>
      </w:r>
    </w:p>
    <w:p>
      <w:pPr>
        <w:pStyle w:val="BodyText"/>
      </w:pPr>
      <w:r>
        <w:t xml:space="preserve">На территории г. Москвы транспортный налог установлен Законом г. Москвы от 09.07.2008 № 33 «О транспортном налоге» в соответствии с главой 28 Налогового кодекса Российской Федерации (далее - Кодекс).</w:t>
      </w:r>
    </w:p>
    <w:p>
      <w:pPr>
        <w:pStyle w:val="BodyText"/>
      </w:pPr>
      <w:r>
        <w:t xml:space="preserve">Земельный налог установлен Законом г. Москвы от 24.11.2004 № 74 «О земельном налоге» в соответствии со главой 31 Кодекса.</w:t>
      </w:r>
    </w:p>
    <w:p>
      <w:pPr>
        <w:pStyle w:val="BodyText"/>
      </w:pPr>
      <w:r>
        <w:t xml:space="preserve">Налог на имущество физических лиц установлен Законом г. Москвы от 19.11.2014 № 51 «О налоге на имущество физических лиц» в соответствии с главой 32 Кодекса.</w:t>
      </w:r>
    </w:p>
    <w:p>
      <w:pPr>
        <w:pStyle w:val="BodyText"/>
      </w:pPr>
      <w:r>
        <w:t xml:space="preserve">По сравнению с предыдущим налоговым периодом произошли следующие основные изменения:</w:t>
      </w:r>
    </w:p>
    <w:p>
      <w:pPr>
        <w:pStyle w:val="BodyText"/>
      </w:pPr>
      <w:r>
        <w:t xml:space="preserve">1) по транспортному налогу</w:t>
      </w:r>
    </w:p>
    <w:p>
      <w:pPr>
        <w:pStyle w:val="BodyText"/>
      </w:pPr>
      <w:r>
        <w:t xml:space="preserve">При расчете налога применен Перечень легковых автомобилей средней стоимостью от 10 млн руб. за 2022 год, размещенный на официальном сайте Минпромторга России.</w:t>
      </w:r>
    </w:p>
    <w:p>
      <w:pPr>
        <w:pStyle w:val="BodyText"/>
      </w:pPr>
      <w:r>
        <w:t xml:space="preserve">2) по земельному налогу</w:t>
      </w:r>
    </w:p>
    <w:p>
      <w:pPr>
        <w:pStyle w:val="BodyText"/>
      </w:pPr>
      <w:r>
        <w:t xml:space="preserve">Применены новые результаты государственной кадастровой оценки земельных участков, расположенных на территории г. Москвы, на основании распоряжения Департамента городского имущества города Москвы от 15.11.2021 № 51520 (далее - Распоряжение).</w:t>
      </w:r>
    </w:p>
    <w:p>
      <w:pPr>
        <w:pStyle w:val="BodyText"/>
      </w:pPr>
      <w:r>
        <w:t xml:space="preserve">3) по налогу на имущество физических лиц</w:t>
      </w:r>
    </w:p>
    <w:p>
      <w:pPr>
        <w:pStyle w:val="BodyText"/>
      </w:pPr>
      <w:r>
        <w:t xml:space="preserve">Применены новые результаты государственной кадастровой оценки объектов недвижимости, расположенных на территории г. Москвы, на основании Распоряжения.</w:t>
      </w:r>
    </w:p>
    <w:p>
      <w:pPr>
        <w:pStyle w:val="BodyText"/>
      </w:pPr>
      <w:r>
        <w:t xml:space="preserve">С результатами определения кадастровой стоимости земельных участков и объектов недвижимости, расположенных на территории г. Москвы, установленной Распоряжением, можно ознакомиться, получив в МФЦ или на официальном сайте Росреестра выписку из Единого государственного реестра недвижимости по состоянию на 01.01.2022.</w:t>
      </w:r>
    </w:p>
    <w:p>
      <w:pPr>
        <w:pStyle w:val="BodyText"/>
      </w:pPr>
      <w:r>
        <w:t xml:space="preserve">С информацией о налоговых ставках и льготах можно ознакомиться в рубрике «Справочная информация о ставках и льготах по имущественным налогам» (</w:t>
      </w:r>
      <w:hyperlink r:id="rId20">
        <w:r>
          <w:rPr>
            <w:rStyle w:val="Hyperlink"/>
            <w:u w:val="single"/>
          </w:rPr>
          <w:t xml:space="preserve">https://www.nalog.ru/rn77/service/tax/</w:t>
        </w:r>
      </w:hyperlink>
      <w:r>
        <w:t xml:space="preserve">).</w:t>
      </w:r>
    </w:p>
    <w:p>
      <w:pPr>
        <w:pStyle w:val="BodyText"/>
      </w:pPr>
      <w:r>
        <w:t xml:space="preserve">Причины изменения величины налогов в каждой конкретной ситуации можно уточнить в налоговой инспекции или обратившись в контакт-центр ФНС России (тел. 8 800 - 222-22-22).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http://basman.mos.ru/presscenter/important-information/detail/11894752.html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important-information/detail/11894752.html" TargetMode="External" /><Relationship Type="http://schemas.openxmlformats.org/officeDocument/2006/relationships/hyperlink" Id="rId20" Target="http://www.nalog.ru/rn77/service/tax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important-information/detail/11894752.html" TargetMode="External" /><Relationship Type="http://schemas.openxmlformats.org/officeDocument/2006/relationships/hyperlink" Id="rId20" Target="http://www.nalog.ru/rn77/service/tax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2025-02-27T11:47:06Z</dcterms:created>
  <dcterms:modified xsi:type="dcterms:W3CDTF">2025-02-27T11:47:06Z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