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прокурор-разъясняет"/>
    <w:p>
      <w:pPr>
        <w:pStyle w:val="Heading3"/>
      </w:pPr>
      <w:r>
        <w:t xml:space="preserve">Прокурор разъясняет</w:t>
      </w:r>
    </w:p>
    <w:p>
      <w:pPr>
        <w:pStyle w:val="FirstParagraph"/>
      </w:pPr>
      <w:r>
        <w:t xml:space="preserve">20.12.2023</w:t>
      </w:r>
    </w:p>
    <w:p>
      <w:pPr>
        <w:pStyle w:val="BodyText"/>
      </w:pPr>
      <w:r>
        <w:rPr>
          <w:bCs/>
          <w:b/>
        </w:rPr>
        <w:t xml:space="preserve">Какими правами обладает потерпевший в уголовном судопроизводстве?</w:t>
      </w:r>
    </w:p>
    <w:p>
      <w:pPr>
        <w:pStyle w:val="BodyText"/>
      </w:pPr>
      <w:r>
        <w:t xml:space="preserve">Защита прав и законных интересов лиц и организаций, потерпевших от преступлений, является одним из назначений уголовного судопроизводства (ст. 6 Уголовно-процессуального кодекса Российской Федерации – далее УПК РФ).</w:t>
      </w:r>
    </w:p>
    <w:p>
      <w:pPr>
        <w:pStyle w:val="BodyText"/>
      </w:pPr>
      <w:r>
        <w:t xml:space="preserve">Физическое или юридическое лицо становится участником уголовного судопроизводства со стороны обвинения, приобретая предусмотренные права и обязанности, при соблюдении двух условий: наличия в уголовном деле доказательств, подтверждающих причинение вреда преступлением (фактического положения), и вынесения следователем или дознавателем постановления о признании лица потерпевшим (процессуального оформления).</w:t>
      </w:r>
    </w:p>
    <w:p>
      <w:pPr>
        <w:pStyle w:val="BodyText"/>
      </w:pPr>
      <w:r>
        <w:t xml:space="preserve">Открытый перечень наиболее важных прав потерпевшего приведен в части 2 статьи 42 УПК РФ. Так, потерпевший вправе: давать показания, отказаться свидетельствовать против самого себя, своего супруга и других близких родственников; представлять доказательства, заявлять ходатайства и отводы, давать показания на родном языке, пользоваться помощью переводчика бесплатно, иметь представителя, участвовать с разрешения следователя или дознавателя в следственных действиях, производимых по его ходатайству либо ходатайству его представителя.</w:t>
      </w:r>
    </w:p>
    <w:p>
      <w:pPr>
        <w:pStyle w:val="BodyText"/>
      </w:pPr>
      <w:r>
        <w:t xml:space="preserve">Потерпевший может до окончания предварительного расследования знакомиться с материалами уголовного дела, затрагивающими его права и законные интересы. Так, например, он вправе знакомиться с протоколами следственных действий, произведенных с его участием, и подавать на них замечания; с постановлением о назначении экспертизы и заключением эксперта, причем независимо от их вида.</w:t>
      </w:r>
    </w:p>
    <w:p>
      <w:pPr>
        <w:pStyle w:val="BodyText"/>
      </w:pPr>
      <w:r>
        <w:t xml:space="preserve">Кроме того, потерпевший вправе получать копии постановлений о возбуждении уголовного дела, признании его потерпевшим или об отказе в этом, о прекращении уголовного дела, приостановлении производства по делу, а также копии приговора суда первой инстанции, решений судов апелляционной, кассационной и надзорной инстанций. В перечень документов, которые должны быть вручены потерпевшему, включены также копии постановлений о принятии дела к производству и о производстве следствия следственной группой, о привлечении лица в качестве обвиняемого, об отказе в избрании в отношении обвиняемого меры пресечения в виде заключения под стражу, о направлении уголовного дела по подследственности. По ходатайству потерпевшего ему должны быть предоставлены также копии иных процессуальных документов, затрагивающих его интересы.</w:t>
      </w:r>
    </w:p>
    <w:p>
      <w:pPr>
        <w:pStyle w:val="BodyText"/>
      </w:pPr>
      <w:r>
        <w:t xml:space="preserve">Следователь, дознаватель и суд обязаны обеспечить реальную возможность ознакомления потерпевшего с материалами дела, избирая форму и порядок ознакомления в пределах, исключающих опасность разглашения следственной тайны. С момента окончания предварительного расследования в любой его форме (прекращения дела, составления обвинительного заключения либо постановления о направлении дела в суд для решения вопроса о применении принудительных мер медицинского характера) потерпевший может знакомиться со всеми материалами уголовного дела, выписывать из него любые сведения и в любом объеме, снимать с него копии, в том числе с помощью технических средств.</w:t>
      </w:r>
    </w:p>
    <w:p>
      <w:pPr>
        <w:pStyle w:val="BodyText"/>
      </w:pPr>
      <w:r>
        <w:t xml:space="preserve">Потерпевший может поддерживать обвинение, выступать в судебных прениях, знакомиться с протоколом и аудиозаписью судебного заседания и подавать на них замечания, обжаловать приговор, определение, постановление суда. Его обязаны ознакомить с принесенными по делу жалобами и представлениями, на которые он вправе подать возражения.</w:t>
      </w:r>
    </w:p>
    <w:p>
      <w:pPr>
        <w:pStyle w:val="BodyText"/>
      </w:pPr>
      <w:r>
        <w:t xml:space="preserve">Законом предусмотрен комплекс мер, направленных на обеспечение безопасности, охрану прав и свобод потерпевшего. Так, например, должностное лицо, осуществляющее производство по уголовному делу, обязано своевременно разъяснить потерпевшему его право ходатайствовать о применении мер безопасности в отношении него либо его родственников.</w:t>
      </w:r>
    </w:p>
    <w:p>
      <w:pPr>
        <w:pStyle w:val="BodyText"/>
      </w:pPr>
      <w:r>
        <w:t xml:space="preserve">Помимо этого потерпевший вправе получать информацию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исправительного учреждения, о времени его освобождения из мест лишения свободы, а также быть извещенным о рассмотрении судом вопросов об освобождении осужденного от наказания, об отсрочке исполнения приговора или о замене осужденному неотбытой части наказания более мягким видом наказания. Реализация данного права осуществляется на основании судебного решения, принятого по заявленному до окончания прений сторон ходатайству потерпевшего либо его представителя.</w:t>
      </w:r>
    </w:p>
    <w:p>
      <w:pPr>
        <w:pStyle w:val="BodyText"/>
      </w:pPr>
      <w:r>
        <w:br/>
      </w:r>
    </w:p>
    <w:p>
      <w:pPr>
        <w:pStyle w:val="BodyText"/>
      </w:pPr>
      <w:r>
        <w:rPr>
          <w:bCs/>
          <w:b/>
        </w:rPr>
        <w:t xml:space="preserve">Защита несовершеннолетних от насилия</w:t>
      </w:r>
    </w:p>
    <w:p>
      <w:pPr>
        <w:pStyle w:val="BodyText"/>
      </w:pPr>
      <w:r>
        <w:t xml:space="preserve">Декларация прав ребенка ООН от 20.11.1959 года провозгласила, что ребенок должен быть защищен от всех форм небрежного отношения, жестокости и эксплуатации.</w:t>
      </w:r>
    </w:p>
    <w:p>
      <w:pPr>
        <w:pStyle w:val="BodyText"/>
      </w:pPr>
      <w:r>
        <w:t xml:space="preserve">Руководящие принципы ООН для предупреждения преступности среди несовершеннолетних требуют принять и обеспечить соблюдение законодательства, запрещающего жестокое обращение с детьми и молодыми людьми и их эксплуатацию, а также использование их как орудие в преступной деятельности и провозглашают, что никакой ребенок не должен подвергаться грубым или унижающим достоинство наказаниям в семье, школе или в других учреждениях.</w:t>
      </w:r>
    </w:p>
    <w:p>
      <w:pPr>
        <w:pStyle w:val="BodyText"/>
      </w:pPr>
      <w:r>
        <w:t xml:space="preserve">Для выявления преступлений, совершаемых в отношении несовершеннолетних, а также для профилактики подобных фактов разработана система взаимосвязи между органами системы профилактики безнадзорности и правонарушений несовершеннолетних.</w:t>
      </w:r>
    </w:p>
    <w:p>
      <w:pPr>
        <w:pStyle w:val="BodyText"/>
      </w:pPr>
      <w:r>
        <w:t xml:space="preserve">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управления образованием, опеки и попечительства, по делам молодежи, управления здравоохранением, службы занятости, внутренних дел.</w:t>
      </w:r>
    </w:p>
    <w:p>
      <w:pPr>
        <w:pStyle w:val="BodyText"/>
      </w:pPr>
      <w:r>
        <w:t xml:space="preserve">В пределах своей компетенции указанные органы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 органы прокуратуры.</w:t>
      </w:r>
    </w:p>
    <w:p>
      <w:pPr>
        <w:pStyle w:val="BodyText"/>
      </w:pPr>
      <w:r>
        <w:t xml:space="preserve">Сигналами для выявления семейного неблагополучия могут стать:</w:t>
      </w:r>
    </w:p>
    <w:p>
      <w:pPr>
        <w:pStyle w:val="BodyText"/>
      </w:pPr>
      <w:r>
        <w:t xml:space="preserve">- состояние здоровья и внешний вид ребенка (опасное для жизни ребенка заболевание, лечением которого не занимаются родители;</w:t>
      </w:r>
    </w:p>
    <w:p>
      <w:pPr>
        <w:pStyle w:val="BodyText"/>
      </w:pPr>
      <w:r>
        <w:t xml:space="preserve">- наличие травм, синяков; неряшливый вид ребенка и др.);</w:t>
      </w:r>
    </w:p>
    <w:p>
      <w:pPr>
        <w:pStyle w:val="BodyText"/>
      </w:pPr>
      <w:r>
        <w:t xml:space="preserve">- агрессивность в отношении сверстников и взрослых, замкнутость, чрезмерная возбудимость и др.;</w:t>
      </w:r>
    </w:p>
    <w:p>
      <w:pPr>
        <w:pStyle w:val="BodyText"/>
      </w:pPr>
      <w:r>
        <w:t xml:space="preserve">- отсутствие интереса родителей к делам ребенка в учебном заведении;</w:t>
      </w:r>
    </w:p>
    <w:p>
      <w:pPr>
        <w:pStyle w:val="BodyText"/>
      </w:pPr>
      <w:r>
        <w:t xml:space="preserve">- уклонение от родительских обязанностей, отсутствие заботы;</w:t>
      </w:r>
    </w:p>
    <w:p>
      <w:pPr>
        <w:pStyle w:val="BodyText"/>
      </w:pPr>
      <w:r>
        <w:t xml:space="preserve">- употребление алкоголя или наркотических средств;</w:t>
      </w:r>
    </w:p>
    <w:p>
      <w:pPr>
        <w:pStyle w:val="BodyText"/>
      </w:pPr>
      <w:r>
        <w:t xml:space="preserve">- уклонение родителей от контакта с работниками и администрацией учреждения образования;</w:t>
      </w:r>
    </w:p>
    <w:p>
      <w:pPr>
        <w:pStyle w:val="BodyText"/>
      </w:pPr>
      <w:r>
        <w:t xml:space="preserve">- неявка на родительские собрания и др.;</w:t>
      </w:r>
    </w:p>
    <w:p>
      <w:pPr>
        <w:pStyle w:val="BodyText"/>
      </w:pPr>
      <w:r>
        <w:t xml:space="preserve">- несвоевременные обращения родителей и иных законных представителей несовершеннолетних в органы внутренних дел об уходах несовершеннолетних из дома, их розыске и др.</w:t>
      </w:r>
    </w:p>
    <w:p>
      <w:pPr>
        <w:pStyle w:val="BodyText"/>
      </w:pPr>
      <w:r>
        <w:t xml:space="preserve">Сотрудники органов и учреждений системы профилактики безнадзорности и правонарушений несовершеннолетних обязаны:</w:t>
      </w:r>
    </w:p>
    <w:p>
      <w:pPr>
        <w:pStyle w:val="BodyText"/>
      </w:pPr>
      <w:r>
        <w:t xml:space="preserve">- направить информацию в правоохранительные органы - для привлечения к ответственности лиц, допустивших жестокое обращение;</w:t>
      </w:r>
    </w:p>
    <w:p>
      <w:pPr>
        <w:pStyle w:val="BodyText"/>
      </w:pPr>
      <w:r>
        <w:t xml:space="preserve">- направить информацию в органы опеки и попечительства - для решения вопроса о немедленном отобрании ребенка у родителей или у других лиц, на попечении которых он находится;</w:t>
      </w:r>
    </w:p>
    <w:p>
      <w:pPr>
        <w:pStyle w:val="BodyText"/>
      </w:pPr>
      <w:r>
        <w:t xml:space="preserve">- принять меры по оказанию помощи ребенку.</w:t>
      </w:r>
    </w:p>
    <w:p>
      <w:pPr>
        <w:pStyle w:val="BodyText"/>
      </w:pPr>
      <w:r>
        <w:t xml:space="preserve">Должностные лица, родители несовершеннолетних или иные их 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w:t>
      </w:r>
    </w:p>
    <w:p>
      <w:pPr>
        <w:pStyle w:val="BodyText"/>
      </w:pPr>
      <w:r>
        <w:t xml:space="preserve">Российским законодательством предусмотрено несколько видов ответственности лиц, допускающих жестокое обращение с ребенком.</w:t>
      </w:r>
    </w:p>
    <w:p>
      <w:pPr>
        <w:pStyle w:val="BodyText"/>
      </w:pPr>
      <w:r>
        <w:t xml:space="preserve">Административная ответственность.</w:t>
      </w:r>
    </w:p>
    <w:p>
      <w:pPr>
        <w:pStyle w:val="BodyText"/>
      </w:pPr>
      <w:r>
        <w:t xml:space="preserve">Лица, не исполняющие обязанности по содержанию и воспитанию несовершеннолетних, подлежат административной ответственности в соответствии с Кодексом Российской Федерации об административных правонарушениях (ст. 5.35). Рассмотрение дел по указанной статье относится к компетенции комиссий по делам несовершеннолетних и защите их прав.</w:t>
      </w:r>
    </w:p>
    <w:p>
      <w:pPr>
        <w:pStyle w:val="BodyText"/>
      </w:pPr>
      <w:r>
        <w:t xml:space="preserve">Уголовная ответственность</w:t>
      </w:r>
    </w:p>
    <w:p>
      <w:pPr>
        <w:pStyle w:val="BodyText"/>
      </w:pPr>
      <w:r>
        <w:t xml:space="preserve">Российское уголовное законодательство предусматривает ответственность лиц за все виды физического и сексуального насилия над детьми, а также по ряду статей – за психическое насилие и за пренебрежение основными потребностями детей, отсутствие заботы о них.</w:t>
      </w:r>
    </w:p>
    <w:p>
      <w:pPr>
        <w:pStyle w:val="BodyText"/>
      </w:pPr>
      <w:r>
        <w:t xml:space="preserve">В Уголовный кодекс Российской Федерации внесены изменения, устанавливающие более строгое наказание за совершение преступлений против несовершеннолетних.</w:t>
      </w:r>
    </w:p>
    <w:p>
      <w:pPr>
        <w:pStyle w:val="BodyText"/>
      </w:pPr>
      <w:r>
        <w:t xml:space="preserve">Значительно увеличена ответственность за совершение преступлений против половой неприкосновенности несовершеннолетних.</w:t>
      </w:r>
    </w:p>
    <w:p>
      <w:pPr>
        <w:pStyle w:val="BodyText"/>
      </w:pPr>
      <w:r>
        <w:t xml:space="preserve">В случае совершения названных преступных деяний в отношении несовершеннолетних, не достигших возраста четырнадцати лет, максимальный срок лишения свободы увеличен с пятнадцати до двадцати лет лишения свободы.</w:t>
      </w:r>
    </w:p>
    <w:p>
      <w:pPr>
        <w:pStyle w:val="BodyText"/>
      </w:pPr>
      <w:r>
        <w:t xml:space="preserve">В пять раз увеличены максимальные сроки лишения свободы за совершение преступления, предусмотренного ст. 134 УК РФ, т.е. совершение совершеннолетними лицами полового сношения и иных действий сексуального характера с лицом, заведомо не достигшим шестнадцатилетнего возраста (без применения насилия или угрозы его применения).</w:t>
      </w:r>
    </w:p>
    <w:p>
      <w:pPr>
        <w:pStyle w:val="BodyText"/>
      </w:pPr>
      <w:r>
        <w:t xml:space="preserve">Ужесточена уголовная ответственность за совершение в отношении малолетних иных преступлений, в частности предусмотренных ст.ст. 105 (убийство), 111 (умышленное причинение тяжкого вреда здоровью), 112 (умышленное причинение средней тяжести вреда здоровью), 135 (развратные действия), 156 (неисполнение обязанностей по воспитанию несовершеннолетнего) УК РФ.</w:t>
      </w:r>
    </w:p>
    <w:p>
      <w:pPr>
        <w:pStyle w:val="BodyText"/>
      </w:pPr>
      <w:r>
        <w:t xml:space="preserve">Изменения призваны изменить негативную ситуацию, связанную с ростом количества преступных посягательств, потерпевшими от которых становятся дети, в том числе ростом количества преступлений против половой неприкосновенности несовершеннолетних.</w:t>
      </w:r>
    </w:p>
    <w:p>
      <w:pPr>
        <w:pStyle w:val="BodyText"/>
      </w:pPr>
      <w:r>
        <w:t xml:space="preserve">Гражданско-правовая ответственность</w:t>
      </w:r>
    </w:p>
    <w:p>
      <w:pPr>
        <w:pStyle w:val="BodyText"/>
      </w:pPr>
      <w:r>
        <w:t xml:space="preserve">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w:t>
      </w:r>
    </w:p>
    <w:p>
      <w:pPr>
        <w:pStyle w:val="BodyText"/>
      </w:pPr>
      <w:r>
        <w:t xml:space="preserve">Лишение родительских прав (ст. 69 Семейного кодекса Российской Федерации), ограничение родительских прав (ст. 73 Семейного кодекса Российской Федерации), отобрание ребенка при непосредственной угрозе жизни ребенка или его здоровью (ст. 77 Семейного кодекса Российской Федерации).</w:t>
      </w:r>
    </w:p>
    <w:p>
      <w:pPr>
        <w:pStyle w:val="BodyText"/>
      </w:pPr>
      <w:r>
        <w:t xml:space="preserve">Дисциплинарной ответственности могут быть подвергнуты должностные лица, в чьи обязанности входит обеспечение воспитания, содержания, обучения детей, допустившие сокрытие или оставление без внимания фактов жестокого обращения с детьми.</w:t>
      </w:r>
    </w:p>
    <w:p>
      <w:pPr>
        <w:pStyle w:val="BodyText"/>
      </w:pPr>
      <w:r>
        <w:br/>
      </w:r>
    </w:p>
    <w:p>
      <w:pPr>
        <w:pStyle w:val="BodyText"/>
      </w:pPr>
      <w:r>
        <w:rPr>
          <w:bCs/>
          <w:b/>
        </w:rPr>
        <w:t xml:space="preserve">Защита жилищных прав детей - сирот и детей, оставшихся без попечения родителей</w:t>
      </w:r>
    </w:p>
    <w:p>
      <w:pPr>
        <w:pStyle w:val="BodyText"/>
      </w:pPr>
      <w:r>
        <w:t xml:space="preserve">Конституцией Российской Федерации установлено, что каждый гражданин имеет право на жилище.</w:t>
      </w:r>
    </w:p>
    <w:p>
      <w:pPr>
        <w:pStyle w:val="BodyText"/>
      </w:pPr>
      <w:r>
        <w:t xml:space="preserve">На основании статьи 155.3 Семейного кодекса РФ дети, оставшиеся без попечения родителей и находящиеся в организациях для детей-сирот и детей, оставшихся без попечения родителей, имеют право на сохранение права собственности на жилое помещение или право пользования жилым помещением. В случае, если жилое помещение отсутствует, имеют право на получение жилого помещения в соответствии с жилищным законодательством.</w:t>
      </w:r>
    </w:p>
    <w:p>
      <w:pPr>
        <w:pStyle w:val="BodyText"/>
      </w:pPr>
      <w:r>
        <w:t xml:space="preserve">Жилищным кодексом Российской Федерации и Федеральным законом от 21.12.1996 № 159-ФЗ «О дополнительных гарантиях по социальной поддержке детей-сирот и детей, оставшихся без попечения родителей» установлено, что дети-сироты и дети, оставшиеся без попечения родителей, а также дети, находящиеся под опекой (попечительством), не имеющие закрепленного жилого помещения, после окончания пребывания в образовательном учреждении или учреждении социального обслуживания, а также в учреждениях всех видов профессионального образования, либо по окончании службы в рядах Вооруженных Сил Российской Федерации, либо после возвращения из учреждений, исполняющих наказание в виде лишения свободы, обеспечиваются органами исполнительной власти по месту жительства вне очереди жилой площадью не ниже установленных социальных норм.</w:t>
      </w:r>
    </w:p>
    <w:p>
      <w:pPr>
        <w:pStyle w:val="BodyText"/>
      </w:pPr>
      <w:r>
        <w:t xml:space="preserve">Поскольку несовершеннолетние, в том числе дети, рассматриваемой категории в силу возраста не могут самостоятельно осуществлять защиту своих прав и законных интересов, эти обязанности в соответствии со ст. 15 Федерального закона от 24.04.2008 № 48-ФЗ «Об опеке и попечительстве» возложены на их законных представителей.</w:t>
      </w:r>
    </w:p>
    <w:p>
      <w:pPr>
        <w:pStyle w:val="BodyText"/>
      </w:pPr>
      <w:r>
        <w:t xml:space="preserve">В целях защиты жилищных прав детей-сирот и детей, оставшихся без попечения родителей их законным представителям (руководители учреждений государственного воспитания, опекуны и попечители), а также лицам из их числа, необходимо обращаться в жилищные отделы администраций муниципальных образований органов местного самоуправления.</w:t>
      </w:r>
    </w:p>
    <w:p>
      <w:pPr>
        <w:pStyle w:val="BodyText"/>
      </w:pPr>
      <w:r>
        <w:t xml:space="preserve">При этом, правом на получение жилых помещений по договорам социального найма обладают дети-сироты и дети, оставшиеся без попечения родителей, а также лица из их числа, окончившие пребывание в данных учреждениях, вне зависимости от их постановки на учет в органе местного самоуправления.</w:t>
      </w:r>
    </w:p>
    <w:p>
      <w:pPr>
        <w:pStyle w:val="BodyText"/>
      </w:pPr>
      <w:r>
        <w:t xml:space="preserve">Семейным кодексом Российской Федерации, Федеральным законом «Об опеке и попечительстве» на органы опеки и попечительства возложены обязанности по надзору за деятельностью опекунов и попечителей несовершеннолетних граждан.</w:t>
      </w:r>
    </w:p>
    <w:p>
      <w:pPr>
        <w:pStyle w:val="BodyText"/>
      </w:pPr>
      <w:r>
        <w:t xml:space="preserve">В силу указанного закона органы опеки и попечительства оказывают содействие опекунам и попечителям в защите прав подопечных, в том числе жилищных, осуществляют проверки соблюдения опекунами и попечителями прав и законных интересов подопечных, обеспечения сохранности их имущества.</w:t>
      </w:r>
    </w:p>
    <w:p>
      <w:pPr>
        <w:pStyle w:val="BodyText"/>
      </w:pPr>
      <w:r>
        <w:t xml:space="preserve">Кроме того, органы опеки и попечительства представляют законные интересы несовершеннолетних, находящихся под опекой или попечительством, в отношениях с любыми лицами, если действия опекунов и попечителей противоречат действующему законодательству, интересам подопечных либо если опекуны и попечители не осуществляют защиту законных интересов подопечных.</w:t>
      </w:r>
    </w:p>
    <w:p>
      <w:pPr>
        <w:pStyle w:val="BodyText"/>
      </w:pPr>
      <w:r>
        <w:t xml:space="preserve">Органы прокуратуры уделяют значительное внимание защите жилищных прав детей-сирот и детей, оставшихся без попечения родителей, лиц из их числа. С этой целью прокуроры обращаются в суды с исковыми заявлениями о постановке детей данной категории на учет в качестве нуждающихся в предоставлении жилых помещений по договорам социального найма, а также о предоставлении им жилых помещений.</w:t>
      </w:r>
    </w:p>
    <w:p>
      <w:pPr>
        <w:pStyle w:val="BodyText"/>
      </w:pPr>
      <w:r>
        <w:t xml:space="preserve">В случае нарушения жилищных прав заинтересованным лицам необходимо обращаться в прокуратуры районов по месту жительства.</w:t>
      </w:r>
    </w:p>
    <w:p>
      <w:pPr>
        <w:pStyle w:val="BodyText"/>
      </w:pPr>
      <w:r>
        <w:br/>
      </w:r>
    </w:p>
    <w:p>
      <w:pPr>
        <w:pStyle w:val="BodyText"/>
      </w:pPr>
      <w:r>
        <w:rPr>
          <w:bCs/>
          <w:b/>
        </w:rPr>
        <w:t xml:space="preserve">Административная ответственность за коррупционные правонарушения</w:t>
      </w:r>
    </w:p>
    <w:p>
      <w:pPr>
        <w:pStyle w:val="BodyText"/>
      </w:pPr>
      <w:r>
        <w:t xml:space="preserve">Понятие «коррупция» содержится в Федеральном законе от 25 декабря 2008 года № 273-ФЗ «О противодействии коррупции», согласно которому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pPr>
        <w:pStyle w:val="BodyText"/>
      </w:pPr>
      <w:r>
        <w:t xml:space="preserve">За совершение коррупционных правонарушений граждане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pPr>
        <w:pStyle w:val="BodyText"/>
      </w:pPr>
      <w:r>
        <w:t xml:space="preserve">К правонарушениям, связанным с коррупцией, в соответствии с Кодексом об административных правонарушениях Российской Федерации (далее – КоАП РФ), относятся следующие виды правонарушений:</w:t>
      </w:r>
    </w:p>
    <w:p>
      <w:pPr>
        <w:pStyle w:val="BodyText"/>
      </w:pPr>
      <w:r>
        <w:t xml:space="preserve">- отказ в представлении гражданину информации (ст. 5.39 КоАП РФ) - влечет наложение административного штрафа на должностных лиц в размере от одной тысячи до трех тысяч рублей;</w:t>
      </w:r>
    </w:p>
    <w:p>
      <w:pPr>
        <w:pStyle w:val="BodyText"/>
      </w:pPr>
      <w:r>
        <w:t xml:space="preserve">- подкуп избирателей (ст. 5.16 КоАП РФ) - влечет наложение административного штрафа на должностных лиц - от трех тысяч до четырех тысяч рублей;</w:t>
      </w:r>
    </w:p>
    <w:p>
      <w:pPr>
        <w:pStyle w:val="BodyText"/>
      </w:pPr>
      <w:r>
        <w:t xml:space="preserve">- непредставление или неопубликование отчета, сведений о преступлении и расходовании средств, выделенных на подготовку и проведении выборов, референдума или иную выборную должность (ст. 5.17 КоАП) – влекут наложение административного штрафа на должностное лицо кредитной организации в размере от двух тысяч до двух тысяч пятисот рублей.</w:t>
      </w:r>
    </w:p>
    <w:p>
      <w:pPr>
        <w:pStyle w:val="BodyText"/>
      </w:pPr>
      <w:r>
        <w:t xml:space="preserve">- незаконное финансирование избирательной кампании, кампании референдума, оказание запрещенной законом материальной поддержки, связанной с проведением выборов, референдума, выполнением работ, оказанием услуг, реализация товаров бесплатно или по необоснованно заниженным (завышенным) расценкам (ст. 5.20 КоАП ) - влечет наложение административного штрафа на должностных лиц в размере от трех тысяч до пяти тысяч рублей.</w:t>
      </w:r>
    </w:p>
    <w:p>
      <w:pPr>
        <w:pStyle w:val="BodyText"/>
      </w:pPr>
      <w:r>
        <w:t xml:space="preserve">- несвоевременное перечисление средств избирательным кампаниям, комиссиям референдума, кандидатам, избирательным объединениям, инициативным группам по проведению референдума, иным группам участников референдума (ст. 5.21 КоАП) влечет наложение административного штрафа на должностных лиц в размере от трех тысяч до пяти тысяч рублей.</w:t>
      </w:r>
    </w:p>
    <w:p>
      <w:pPr>
        <w:pStyle w:val="BodyText"/>
      </w:pPr>
      <w:r>
        <w:t xml:space="preserve">- нарушение законодательства об экологической экспертизе (ст. 8.4 КоАП РФ) - влечет предупреждение или наложение административного штрафа на должностных лиц - от пяти тысяч до десяти тысяч рублей;</w:t>
      </w:r>
    </w:p>
    <w:p>
      <w:pPr>
        <w:pStyle w:val="BodyText"/>
      </w:pPr>
      <w:r>
        <w:t xml:space="preserve">- нарушение установленного порядка строительства, реконструкции, капитального ремонта объекта капитального строительства, ввода его в эксплуатацию 9.5 КоАП РФ);</w:t>
      </w:r>
    </w:p>
    <w:p>
      <w:pPr>
        <w:pStyle w:val="BodyText"/>
      </w:pPr>
      <w:r>
        <w:t xml:space="preserve">- самоуправство, не причинившее существенного вреда (ст. 19.1 КоАП РФ влечет предупреждение или наложение административного штрафа на должностных лиц - от трехсот до пятисот рублей;</w:t>
      </w:r>
    </w:p>
    <w:p>
      <w:pPr>
        <w:pStyle w:val="BodyText"/>
      </w:pPr>
      <w:r>
        <w:t xml:space="preserve">- незаконное привлечение к трудовой деятельности государственного служащего (бывшего государственного служащего) (ст.19.29 КоАП) - влечет наложение административного штрафа на должностных лиц от двадцати тысяч до пятидесяти тысяч рублей.</w:t>
      </w:r>
    </w:p>
    <w:p>
      <w:pPr>
        <w:pStyle w:val="BodyText"/>
      </w:pPr>
      <w:r>
        <w:t xml:space="preserve">Кроме того, к административным правонарушениям коррупционного характера следует также отнести и правонарушения, которые подпадают под ст. 19.28 КоАП «Незаконное вознаграждение от имени юридического лица».</w:t>
      </w:r>
    </w:p>
    <w:p>
      <w:pPr>
        <w:pStyle w:val="BodyText"/>
      </w:pPr>
      <w:r>
        <w:t xml:space="preserve">Так в соответствии с ч. 1 ст.19.28 КоАП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pPr>
        <w:pStyle w:val="BodyText"/>
      </w:pPr>
      <w:r>
        <w:br/>
      </w:r>
    </w:p>
    <w:p>
      <w:pPr>
        <w:pStyle w:val="BodyText"/>
      </w:pPr>
      <w:r>
        <w:rPr>
          <w:bCs/>
          <w:b/>
        </w:rPr>
        <w:t xml:space="preserve">Выплаты, положенные участникам СВО</w:t>
      </w:r>
    </w:p>
    <w:p>
      <w:pPr>
        <w:pStyle w:val="BodyText"/>
      </w:pPr>
      <w:r>
        <w:t xml:space="preserve">Согласно п. 3 Указа Президента РФ от 21.09.2022 г. № 647 «Об объявлении частичной мобилизации в Российской Федерации» денежное довольствие мобилизованного соответствует довольствию военнослужащего по контракту.</w:t>
      </w:r>
    </w:p>
    <w:p>
      <w:pPr>
        <w:pStyle w:val="BodyText"/>
      </w:pPr>
      <w:r>
        <w:t xml:space="preserve">В соответствии с ч. 2, 12, 13 ст. 2 Федерального закона от 04.11.2011 № 306-ФЗ «О денежном довольствии военнослужащих и предоставлении им отдельных выплат» денежное довольствие состоит из оклада и дополнительных выплат (например, надбавка за выслугу лет). Минимальный размер ежемесячной оплаты для мобилизованных составляет 195 тысяч рублей. Выплата производится ежемесячно с 10 по 20 число за истекший месяц.</w:t>
      </w:r>
    </w:p>
    <w:p>
      <w:pPr>
        <w:pStyle w:val="BodyText"/>
      </w:pPr>
      <w:r>
        <w:t xml:space="preserve">Денежное довольствие военнослужащего зачисляется на его расчетный счет, по желанию оно может быть перечислено его родственникам, для этого военнослужащему необходимо оформить доверенность.</w:t>
      </w:r>
    </w:p>
    <w:p>
      <w:pPr>
        <w:pStyle w:val="BodyText"/>
      </w:pPr>
      <w:r>
        <w:t xml:space="preserve">Кроме того, существует возможность оформить дополнительную банковскую карту, привязанную к тому же расчетному счету, который ранее представил военнослужащий.</w:t>
      </w:r>
    </w:p>
    <w:p>
      <w:pPr>
        <w:pStyle w:val="BodyText"/>
      </w:pPr>
      <w:r>
        <w:t xml:space="preserve">В соответствии с Указом Мэра Москвы от 22.09.2022г «О дополнительных социальных гарантиях лицам, призванным на военную службу по мобилизации» военнослужащим, призванным Военным комиссариатом города Москвы на военную службу по мобилизации, осуществляется ежемесячная выплата в размере 50000 рублей сверх федерального денежного довольствия.</w:t>
      </w:r>
    </w:p>
    <w:p>
      <w:pPr>
        <w:pStyle w:val="BodyText"/>
      </w:pPr>
      <w:r>
        <w:t xml:space="preserve">Единовременные выплаты</w:t>
      </w:r>
    </w:p>
    <w:p>
      <w:pPr>
        <w:pStyle w:val="BodyText"/>
      </w:pPr>
      <w:r>
        <w:t xml:space="preserve">Указом Президента РФ от 02.11.2022 № 787 «О единовременной денежной выплате военнослужащим, проходящим военную службу по контракту в Вооруженных Силах Российской Федерации, войсках национальной гвардии Российской Федерации» предусмотрена единовременная выплата в размере 195 тысяч рублей для мобилизованных, заключивших в период проведения СВО контракт на службу в ВС РФ сроком от 1 года.</w:t>
      </w:r>
    </w:p>
    <w:p>
      <w:pPr>
        <w:pStyle w:val="BodyText"/>
      </w:pPr>
      <w:r>
        <w:t xml:space="preserve">Для ее получения военнослужащему необходимо подать соответствующий рапорт. В случае досрочного расторжения контракта по определенным основаниям выплату нужно будет вернуть в сумме, исчисленной пропорционально оставшемуся сроку контракта. Иные дополнительные выплаты осуществляются на общих основаниях, как и для других военнослужащих. Порядок их предоставления определен приказом Министра обороны РФ от 06.12.2019 №727 «Об определении Порядка обеспечения денежным довольствием военнослужащих Вооруженных Сил РФ и предоставления им и членам их семей отдельных выплат». Например, может быть установлена надбавка за особые условия или достижения.</w:t>
      </w:r>
    </w:p>
    <w:p>
      <w:pPr>
        <w:pStyle w:val="BodyText"/>
      </w:pPr>
      <w:r>
        <w:t xml:space="preserve">В соответствии с Указом Президента РФ от 05.03.2022 № 98 «О дополнительных социальных гарантиях военнослужащим, лицам, проходящим службу в войсках национальной гвардии Российской Федерации, и членам их семей» в случае гибели (смерти) военнослужащих, принимавших участие в СВО на территории ДНР, ЛНР и Украины членам их семей осуществляется единовременная выплата в размере 5 млн. рублей в равных долях, в случае получения ранения (контузии, травмы, единовременная выплата в размере 3 млн. рублей.</w:t>
      </w:r>
    </w:p>
    <w:p>
      <w:pPr>
        <w:pStyle w:val="BodyText"/>
      </w:pPr>
      <w:r>
        <w:t xml:space="preserve">Кроме того, Указом Мэра Москвы от 22.09.2022 предусмотрены выплаты военнослужащим, призванным Военным комиссариатом города Москвы:</w:t>
      </w:r>
    </w:p>
    <w:p>
      <w:pPr>
        <w:pStyle w:val="BodyText"/>
      </w:pPr>
      <w:r>
        <w:t xml:space="preserve">- в размере 1 000 000 рублей при получении тяжелого ранения;</w:t>
      </w:r>
    </w:p>
    <w:p>
      <w:pPr>
        <w:pStyle w:val="BodyText"/>
      </w:pPr>
      <w:r>
        <w:t xml:space="preserve">- в размере 500 000 рублей – при получении легкого ранения;</w:t>
      </w:r>
    </w:p>
    <w:p>
      <w:pPr>
        <w:pStyle w:val="BodyText"/>
      </w:pPr>
      <w:r>
        <w:t xml:space="preserve">- в размере 3 000 000 рублей в случае гибели военнослужащего во время боевых действий или его смерти от полученного ранения в течение года после прохождения военной службы (сумма в 3 000 000 рублей распределяется между близкими родственниками в равных частях).</w:t>
      </w:r>
    </w:p>
    <w:p>
      <w:pPr>
        <w:pStyle w:val="BodyText"/>
      </w:pPr>
      <w:r>
        <w:t xml:space="preserve">Государственное страхование</w:t>
      </w:r>
    </w:p>
    <w:p>
      <w:pPr>
        <w:pStyle w:val="BodyText"/>
      </w:pPr>
      <w:r>
        <w:t xml:space="preserve">Обязательное государственное страхование жизни и здоровья – социальная гарантия защитникам Родины от государства.</w:t>
      </w:r>
    </w:p>
    <w:p>
      <w:pPr>
        <w:pStyle w:val="BodyText"/>
      </w:pPr>
      <w:r>
        <w:t xml:space="preserve">Оно действует не только во время нахождения в горячей точке или на территории воинской части, но и в течение года после завершения военной службы. В случае наступления инвалидности или смерти во время выполнения боевых задач, военнослужащий или его родные получат страховую выплату. Федеральный закон от 28.03.1998 № 52-ФЗ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РФ, Государственной противопожарной службы, сотрудников учреждений и органов уголовно-исполнительной системы, сотрудников войск национальной гвардии РФ, сотрудников органов принудительного исполнения РФ»).</w:t>
      </w:r>
    </w:p>
    <w:p>
      <w:pPr>
        <w:pStyle w:val="BodyText"/>
      </w:pPr>
      <w:r>
        <w:t xml:space="preserve">Каждый гражданин, призванный на службу в рамках частичной мобилизации, застрахован государством. Эта страховка оформляется специальными органами, поэтому сам призывник ничего не оформляет. Государство имеет договор на коллективное страхование, поэтому каждый гражданин будет автоматически застрахован.</w:t>
      </w:r>
    </w:p>
    <w:p>
      <w:pPr>
        <w:pStyle w:val="BodyText"/>
      </w:pPr>
      <w:r>
        <w:t xml:space="preserve">По обязательному страхованию мобилизованных установлен лимит выплат при наступлении перечисленных страховых рисков:</w:t>
      </w:r>
    </w:p>
    <w:p>
      <w:pPr>
        <w:pStyle w:val="BodyText"/>
      </w:pPr>
      <w:r>
        <w:t xml:space="preserve">- в случае смерти - 7,421 млн. рублей;</w:t>
      </w:r>
    </w:p>
    <w:p>
      <w:pPr>
        <w:pStyle w:val="BodyText"/>
      </w:pPr>
      <w:r>
        <w:t xml:space="preserve">- в случае получения группы инвалидности – от 742 тыс. рублей до 2,2 млн. рублей (зависит от группы);</w:t>
      </w:r>
    </w:p>
    <w:p>
      <w:pPr>
        <w:pStyle w:val="BodyText"/>
      </w:pPr>
      <w:r>
        <w:t xml:space="preserve">- при травмах различной степени тяжести – от 74 до 297 тыс. рублей;</w:t>
      </w:r>
    </w:p>
    <w:p>
      <w:pPr>
        <w:pStyle w:val="BodyText"/>
      </w:pPr>
      <w:r>
        <w:t xml:space="preserve">- при травме с дальнейшим признанием военной непригодности- 2,968 млн. рублей.</w:t>
      </w:r>
    </w:p>
    <w:p>
      <w:pPr>
        <w:pStyle w:val="BodyText"/>
      </w:pPr>
      <w:r>
        <w:br/>
      </w:r>
    </w:p>
    <w:p>
      <w:pPr>
        <w:pStyle w:val="BodyText"/>
      </w:pPr>
      <w:r>
        <w:rPr>
          <w:bCs/>
          <w:b/>
        </w:rPr>
        <w:t xml:space="preserve">Какая помощь предусмотрена для семей с детьми-инвалидами в Москве?</w:t>
      </w:r>
    </w:p>
    <w:p>
      <w:pPr>
        <w:pStyle w:val="BodyText"/>
      </w:pPr>
      <w:r>
        <w:t xml:space="preserve">Помимо стандартной помощи, которую могут получить все инвалиды, и стандартной помощи для семей с детьми, семьи с детьми-инвалидами, могут претендовать на дополнительную помощь.</w:t>
      </w:r>
    </w:p>
    <w:p>
      <w:pPr>
        <w:pStyle w:val="BodyText"/>
      </w:pPr>
      <w:r>
        <w:t xml:space="preserve">Федеральным законодательством предусмотрены:</w:t>
      </w:r>
    </w:p>
    <w:p>
      <w:pPr>
        <w:pStyle w:val="BodyText"/>
      </w:pPr>
      <w:r>
        <w:t xml:space="preserve">социальная пенсия по инвалидности;</w:t>
      </w:r>
    </w:p>
    <w:p>
      <w:pPr>
        <w:pStyle w:val="BodyText"/>
      </w:pPr>
      <w:r>
        <w:t xml:space="preserve">ежемесячная денежная выплата для детей-инвалидов;</w:t>
      </w:r>
    </w:p>
    <w:p>
      <w:pPr>
        <w:pStyle w:val="BodyText"/>
      </w:pPr>
      <w:r>
        <w:t xml:space="preserve">ежемесячная выплата по уходу за ребенком-инвалидом или инвалидом с детства I группы.</w:t>
      </w:r>
    </w:p>
    <w:p>
      <w:pPr>
        <w:pStyle w:val="BodyText"/>
      </w:pPr>
      <w:r>
        <w:t xml:space="preserve">Московские семьи с детьми-инвалидами также могут претендовать на получение нескольких дополнительных выплат:</w:t>
      </w:r>
    </w:p>
    <w:p>
      <w:pPr>
        <w:pStyle w:val="BodyText"/>
      </w:pPr>
      <w:r>
        <w:t xml:space="preserve">ежемесячной компенсационной выплаты лицу, занятому уходом за ребенком-инвалидом или инвалидом с детства в возрасте до 23 лет;</w:t>
      </w:r>
    </w:p>
    <w:p>
      <w:pPr>
        <w:pStyle w:val="BodyText"/>
      </w:pPr>
      <w:r>
        <w:t xml:space="preserve">ежемесячной компенсационной выплаты потерявшим кормильца детям-инвалидам и инвалидам с детства в возрасте до 23 лет (для детей-инвалидов, у которых умер один или оба родителя);</w:t>
      </w:r>
    </w:p>
    <w:p>
      <w:pPr>
        <w:pStyle w:val="BodyText"/>
      </w:pPr>
      <w:r>
        <w:t xml:space="preserve">ежемесячной компенсации на возмещение роста стоимости продуктов питания на детей в возрасте до трех лет.</w:t>
      </w:r>
    </w:p>
    <w:p>
      <w:pPr>
        <w:pStyle w:val="BodyText"/>
      </w:pPr>
      <w:r>
        <w:t xml:space="preserve">Кроме того, можно:</w:t>
      </w:r>
    </w:p>
    <w:p>
      <w:pPr>
        <w:pStyle w:val="BodyText"/>
      </w:pPr>
      <w:r>
        <w:t xml:space="preserve">получить право на специальные условия обучения для ребенка-инвалида;</w:t>
      </w:r>
    </w:p>
    <w:p>
      <w:pPr>
        <w:pStyle w:val="BodyText"/>
      </w:pPr>
      <w:r>
        <w:t xml:space="preserve">получить специальные условия труда для родителя, опекуна или попечителя ребенка-инвалида.</w:t>
      </w:r>
    </w:p>
    <w:p>
      <w:pPr>
        <w:pStyle w:val="BodyText"/>
      </w:pPr>
      <w:r>
        <w:t xml:space="preserve">Также для инвалидов работают различные спортивные секции и группы.</w:t>
      </w:r>
    </w:p>
    <w:p>
      <w:pPr>
        <w:pStyle w:val="BodyText"/>
      </w:pPr>
      <w:r>
        <w:t xml:space="preserve">Ежемесячную компенсационную выплату по уходу за ребенком-инвалидом или инвалидом с детства в возрасте до 23 лет могут получить родитель, опекун или попечитель, при условии, что они не работают, не служат и не обучаются по очной форме.</w:t>
      </w:r>
    </w:p>
    <w:p>
      <w:pPr>
        <w:pStyle w:val="BodyText"/>
      </w:pPr>
      <w:r>
        <w:t xml:space="preserve">В некоторых случаях выплату могут оформить и работающие законные представители ребенка, для этого они должны относиться к одной из категорий:</w:t>
      </w:r>
    </w:p>
    <w:p>
      <w:pPr>
        <w:pStyle w:val="BodyText"/>
      </w:pPr>
      <w:r>
        <w:t xml:space="preserve">одинокая мать (отец);</w:t>
      </w:r>
    </w:p>
    <w:p>
      <w:pPr>
        <w:pStyle w:val="BodyText"/>
      </w:pPr>
      <w:r>
        <w:t xml:space="preserve">вдова (вдовец);</w:t>
      </w:r>
    </w:p>
    <w:p>
      <w:pPr>
        <w:pStyle w:val="BodyText"/>
      </w:pPr>
      <w:r>
        <w:t xml:space="preserve">родитель, расторгнувший брак с отцом (матерью) ребенка;</w:t>
      </w:r>
    </w:p>
    <w:p>
      <w:pPr>
        <w:pStyle w:val="BodyText"/>
      </w:pPr>
      <w:r>
        <w:t xml:space="preserve">родитель, в отношении ребенка которого установлено отцовство;</w:t>
      </w:r>
    </w:p>
    <w:p>
      <w:pPr>
        <w:pStyle w:val="BodyText"/>
      </w:pPr>
      <w:r>
        <w:t xml:space="preserve">один из многодетных родителей.</w:t>
      </w:r>
    </w:p>
    <w:p>
      <w:pPr>
        <w:pStyle w:val="BodyText"/>
      </w:pPr>
      <w:r>
        <w:t xml:space="preserve">Независимо от наличия работы, выплату могут оформить:</w:t>
      </w:r>
    </w:p>
    <w:p>
      <w:pPr>
        <w:pStyle w:val="BodyText"/>
      </w:pPr>
      <w:r>
        <w:t xml:space="preserve">бывший попечитель инвалида с детства в возрасте до 23 лет, оставшегося без попечения родителя, осуществлявший уход за ним до совершеннолетия;</w:t>
      </w:r>
    </w:p>
    <w:p>
      <w:pPr>
        <w:pStyle w:val="BodyText"/>
      </w:pPr>
      <w:r>
        <w:t xml:space="preserve">один из приемных родителей ребенка-инвалида;</w:t>
      </w:r>
    </w:p>
    <w:p>
      <w:pPr>
        <w:pStyle w:val="BodyText"/>
      </w:pPr>
      <w:r>
        <w:t xml:space="preserve">патронатный воспитатель ребенка-инвалида.</w:t>
      </w:r>
    </w:p>
    <w:p>
      <w:pPr>
        <w:pStyle w:val="BodyText"/>
      </w:pPr>
      <w:r>
        <w:t xml:space="preserve">Если ребенок-инвалид или инвалид с детства в возрасте до 23 лет вступит в брак, получать выплату он будет лично, при условии, что у его законного представителя сохранится право на получение этой выплаты.</w:t>
      </w:r>
    </w:p>
    <w:p>
      <w:pPr>
        <w:pStyle w:val="BodyText"/>
      </w:pPr>
      <w:r>
        <w:t xml:space="preserve">Если в семье двое таких детей, выплата назначается на каждого ребенка.</w:t>
      </w:r>
    </w:p>
    <w:p>
      <w:pPr>
        <w:pStyle w:val="BodyText"/>
      </w:pPr>
      <w:r>
        <w:t xml:space="preserve">Заявитель и ребенок должны проживать совместно и иметь постоянную регистрацию в Москве. Гражданство при этом значения не имеет.</w:t>
      </w:r>
    </w:p>
    <w:p>
      <w:pPr>
        <w:pStyle w:val="BodyText"/>
      </w:pPr>
      <w:r>
        <w:t xml:space="preserve">Дети-инвалиды, а также инвалиды с детства в возрасте до 23 лет независимо от группы инвалидности и степени утраты способности к трудовой деятельности, у которых умер один или оба родителя, имеют право на ежемесячную компенсационную выплату.</w:t>
      </w:r>
    </w:p>
    <w:p>
      <w:pPr>
        <w:pStyle w:val="BodyText"/>
      </w:pPr>
      <w:r>
        <w:t xml:space="preserve">Выплату может оформить:</w:t>
      </w:r>
    </w:p>
    <w:p>
      <w:pPr>
        <w:pStyle w:val="BodyText"/>
      </w:pPr>
      <w:r>
        <w:t xml:space="preserve">единственный родитель ребенка-инвалида или инвалида с детства в возрасте до 23 лет, у которого умер второй родитель. Ребенок и родитель должны проживать совместно и иметь постоянную регистрацию в Москве;</w:t>
      </w:r>
    </w:p>
    <w:p>
      <w:pPr>
        <w:pStyle w:val="BodyText"/>
      </w:pPr>
      <w:r>
        <w:t xml:space="preserve">опекун или попечитель ребенка-инвалида или инвалида с детства в возрасте до 23 лет, у которого умерли оба или единственный родитель. Ребенок должен иметь место жительства в Москве, а опекун или попечитель — проживать с ним совместно;</w:t>
      </w:r>
    </w:p>
    <w:p>
      <w:pPr>
        <w:pStyle w:val="BodyText"/>
      </w:pPr>
      <w:r>
        <w:t xml:space="preserve">инвалид с детства в возрасте до 23 лет, у которого умерли один или оба родителя, при условии, что он имеет место жительства в Москве;</w:t>
      </w:r>
    </w:p>
    <w:p>
      <w:pPr>
        <w:pStyle w:val="BodyText"/>
      </w:pPr>
      <w:r>
        <w:t xml:space="preserve">братья, сестры, внуки умершего кормильца, если они являются детьми-инвалидами или инвалидами с детства в возрасте до 23 лет, имеют место жительства в Москве и получают пенсию по случаю потери кормильца за умершего брата, сестру, дедушку или бабушку.</w:t>
      </w:r>
    </w:p>
    <w:p>
      <w:pPr>
        <w:pStyle w:val="BodyText"/>
      </w:pPr>
      <w:r>
        <w:t xml:space="preserve">Ежемесячная компенсационная выплата на возмещение роста стоимости продуктов питания выплачивается на детей до 3-х лет, если это дети:</w:t>
      </w:r>
    </w:p>
    <w:p>
      <w:pPr>
        <w:pStyle w:val="BodyText"/>
      </w:pPr>
      <w:r>
        <w:t xml:space="preserve">одиноких матерей (отцов);</w:t>
      </w:r>
    </w:p>
    <w:p>
      <w:pPr>
        <w:pStyle w:val="BodyText"/>
      </w:pPr>
      <w:r>
        <w:t xml:space="preserve">военнослужащих, проходящих военную службу по призыву в качестве сержантов, старшин, солдатов или матросов, либо курсантов военных училищ или вузов (при условии отсутствия контракта на прохождение военной службы);</w:t>
      </w:r>
    </w:p>
    <w:p>
      <w:pPr>
        <w:pStyle w:val="BodyText"/>
      </w:pPr>
      <w:r>
        <w:t xml:space="preserve">из семей, в которых один из родителей уклоняется от уплаты алиментов (либо, когда взыскание алиментов невозможно);</w:t>
      </w:r>
    </w:p>
    <w:p>
      <w:pPr>
        <w:pStyle w:val="BodyText"/>
      </w:pPr>
      <w:r>
        <w:t xml:space="preserve">из многодетных семей;</w:t>
      </w:r>
    </w:p>
    <w:p>
      <w:pPr>
        <w:pStyle w:val="BodyText"/>
      </w:pPr>
      <w:r>
        <w:t xml:space="preserve">из студенческих семей;</w:t>
      </w:r>
    </w:p>
    <w:p>
      <w:pPr>
        <w:pStyle w:val="BodyText"/>
      </w:pPr>
      <w:r>
        <w:t xml:space="preserve">являющиеся инвалидами.</w:t>
      </w:r>
    </w:p>
    <w:p>
      <w:pPr>
        <w:pStyle w:val="BodyText"/>
      </w:pPr>
      <w:r>
        <w:t xml:space="preserve">Если ребенок относится к нескольким категориям, назначается только одна ежемесячная компенсационная выплата на возмещение роста стоимости продуктов питания. Если в семье несколько детей, выплата назначается на каждого из них.</w:t>
      </w:r>
    </w:p>
    <w:p>
      <w:pPr>
        <w:pStyle w:val="BodyText"/>
      </w:pPr>
      <w:r>
        <w:br/>
      </w:r>
    </w:p>
    <w:p>
      <w:pPr>
        <w:pStyle w:val="BodyText"/>
      </w:pPr>
      <w:r>
        <w:rPr>
          <w:bCs/>
          <w:b/>
        </w:rPr>
        <w:t xml:space="preserve">Продление моратория на проверки бизнеса до конца 2024 года</w:t>
      </w:r>
    </w:p>
    <w:p>
      <w:pPr>
        <w:pStyle w:val="BodyText"/>
      </w:pPr>
      <w:r>
        <w:t xml:space="preserve">Мораторий, как и ранее, будет действовать в отношении проверок, организованных по видам госконтроля (надзора), муниципального контроля, регулируемых:</w:t>
      </w:r>
    </w:p>
    <w:p>
      <w:pPr>
        <w:pStyle w:val="BodyText"/>
      </w:pPr>
      <w:r>
        <w:t xml:space="preserve">Федеральным законом от 31 июля 2020 г. № 248-ФЗ «О государственном контроле (надзоре) и муниципальном контроле в Российской Федерации»;</w:t>
      </w:r>
    </w:p>
    <w:p>
      <w:pPr>
        <w:pStyle w:val="BodyText"/>
      </w:pPr>
      <w:r>
        <w:t xml:space="preserve">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pStyle w:val="BodyText"/>
      </w:pPr>
      <w:r>
        <w:t xml:space="preserve">Кроме того, он касается госконтроля (надзора) за деятельностью органов госвласти субъектов РФ, местного самоуправления и должностных лиц этих органов.</w:t>
      </w:r>
    </w:p>
    <w:p>
      <w:pPr>
        <w:pStyle w:val="BodyText"/>
      </w:pPr>
      <w:r>
        <w:t xml:space="preserve">Исключение традиционно предусмотрено для объектов, отнесенных к категориям чрезвычайно высокого и высокого риска. Как правило, это социальные, промышленные объекты, отдельные виды деятельности, имеющие максимальный или близкий к нему уровень риска причинения вреда в соответствующей сфере. Также мораторий не распространяется на проверки, проводимые в случае угрозы жизни и здоровью граждан, безопасности страны или на основании индикаторов риска нарушения обязательных требований. С полным перечнем оснований, допускающих проведение внеплановых контрольных (надзорных) мероприятий и внеплановых проверок, можно ознакомиться в п. 3 Постановления Правительства РФ от 10 марта 2022 г. № 336 «Об особенностях организации и осуществления государственного контроля (надзора), муниципального контроля».</w:t>
      </w:r>
    </w:p>
    <w:p>
      <w:pPr>
        <w:pStyle w:val="BodyText"/>
      </w:pPr>
      <w:r>
        <w:br/>
      </w:r>
    </w:p>
    <w:p>
      <w:pPr>
        <w:pStyle w:val="BodyText"/>
      </w:pPr>
      <w:r>
        <w:rPr>
          <w:bCs/>
          <w:b/>
        </w:rPr>
        <w:t xml:space="preserve">Ответственность за правонарушения в природоохранной сфере</w:t>
      </w:r>
    </w:p>
    <w:p>
      <w:pPr>
        <w:pStyle w:val="BodyText"/>
      </w:pPr>
      <w:r>
        <w:t xml:space="preserve">Охрана окружающей среды и рациональное использование природных ресурсов является одной из наиболее актуальных проблем современности, решение которой достигается, в том числе, путем неукоснительного соблюдения требований законодательства в природоохранной сфере.</w:t>
      </w:r>
    </w:p>
    <w:p>
      <w:pPr>
        <w:pStyle w:val="BodyText"/>
      </w:pPr>
      <w:r>
        <w:t xml:space="preserve">Виды ответственности за нарушения в природоохранной сфере регламентированы Феде</w:t>
      </w:r>
      <w:r>
        <w:softHyphen/>
      </w:r>
      <w:r>
        <w:t xml:space="preserve">ральным законом от 10.01.2002 № 7-ФЗ «Об охране окружающей среды», согласно которому лица, виновные в совершении природоохранных правонарушений, несут административную, уголовную, дисциплинарную и гражданско-правовую ответственность.</w:t>
      </w:r>
    </w:p>
    <w:p>
      <w:pPr>
        <w:pStyle w:val="BodyText"/>
      </w:pPr>
      <w:r>
        <w:t xml:space="preserve">Административная ответственность наступает за совершение административного экологического правонарушения, причинившего вред человеку, собственнику, природопользователю, окружающей среде в целом или создающего реальную угрозу причинения такого вреда. При этом указанная ответственность возникает только за те правонарушения, которые предусмотрены Кодексом Российской Федерации об административных правонарушениях (далее – КоАП РФ) и специальными нормами отраслевого законодательства.</w:t>
      </w:r>
    </w:p>
    <w:p>
      <w:pPr>
        <w:pStyle w:val="BodyText"/>
      </w:pPr>
      <w:r>
        <w:t xml:space="preserve">Административная ответственность установлена за совершение правонарушений, посягающих на следующие природные ресурсы: землю (ст. 8.6 – 8.8, 8.12 КоАП РФ), недра (ст. 8.9 – 8.11 КоАП РФ), воды (ст. 8.12.1 – 8.20 КоАП РФ), леса (ст. 8.12, 8.24 – 8.28.1, 8.30 – 8.32 КоАП РФ), животный мир и водные биологические ресурсы (ст. 8.29 – 8.30, 8.33 – 8.39 КоАП РФ), атмосферный воздух (8.21 – 8.23, 8.40 – 8.46 КоАП РФ), правила пользования которыми установлены в рамках экологического законодательства (ст. 7.3 – 7.11, 8.1– 8.5 КоАП РФ).</w:t>
      </w:r>
    </w:p>
    <w:p>
      <w:pPr>
        <w:pStyle w:val="BodyText"/>
      </w:pPr>
      <w:r>
        <w:t xml:space="preserve">Наиболее распространенными видами наказания в рамках административной ответственности являются предупреждения, штрафы (от 500 до 1 млн. рублей), административное приостановление деятельности на срок до 90 суток, конфискация орудий административного правонарушения.</w:t>
      </w:r>
    </w:p>
    <w:p>
      <w:pPr>
        <w:pStyle w:val="BodyText"/>
      </w:pPr>
      <w:r>
        <w:t xml:space="preserve">Уголовная ответственность устанавливается за совершение преступлений в сфере охраны окружающей среды и предусматривается нормами Уголовного кодекса Российской Федерации (далее – УК РФ).</w:t>
      </w:r>
    </w:p>
    <w:p>
      <w:pPr>
        <w:pStyle w:val="BodyText"/>
      </w:pPr>
      <w:r>
        <w:t xml:space="preserve">Экологическими преступлениями являются: нарушение правил охраны окружающей среды при производстве работ (ст. 246 УК РФ), нарушение правил обращения экологически опасных веществ и отходов (ст. 247 УК РФ), нарушение правил безопасности при обращении с микробиологическими либо другими биологическими агентами или токсинами (ст. 248 УК РФ), нарушение ветеринарных правил и правил, установленных для борьбы с болезнями и вредителями растений (ст. 249 УК РФ), загрязнение вод, атмосферы, морской среды (ст. 250-251 УК РФ), нарушение законодательства Российской Федерации о континентальном шельфе и об исключительной экономической зоне Российской Федерации (ст. 253 УК РФ), порча земли (ст. 254 УК РФ), нарушение правил охраны и использования недр (ст. 255 УК РФ); нарушение правил охраны водных биологических ресурсов или их незаконная добыча (вылов) (ст. 256, 257 УК РФ); незаконная охота (ст. 258 УК РФ), незаконная охота, добыча и оборот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(ст. 258, 258.1 УК РФ), уничтожение критических местообитаний для организмов, занесенных в Красную книгу Российской Федерации (ст. 259 УК РФ), незаконная рубка, уничтожение или повреждение лесных насаждений (ст. 260, 261 УК РФ), нарушение режима особо охраняемых природных территорий и природных объектов (ст. 262 УК РФ).</w:t>
      </w:r>
    </w:p>
    <w:p>
      <w:pPr>
        <w:pStyle w:val="BodyText"/>
      </w:pPr>
      <w:r>
        <w:t xml:space="preserve">За совершение экологических преступлений предусмотрены более суровые наказания в сравнении с наказаниями за другие виды экологических правонарушений: штраф, исправительные работы, обязательные работы, принудительные работы, лишение права занимать определенную должность или заниматься определенной деятельностью, ограничение свободы, лишение свободы.</w:t>
      </w:r>
    </w:p>
    <w:p>
      <w:pPr>
        <w:pStyle w:val="BodyText"/>
      </w:pPr>
      <w:r>
        <w:t xml:space="preserve">Дисциплинарную ответственность несут должностные лица и иные виновные работники организаций в соответствии с положениями, уставами, правилами внутреннего распорядка и другими нормативными актами за невыполнение требований природоохранительного законодательства, вытекающих из их трудовой функции или должностного положения.</w:t>
      </w:r>
    </w:p>
    <w:p>
      <w:pPr>
        <w:pStyle w:val="BodyText"/>
      </w:pPr>
      <w:r>
        <w:t xml:space="preserve">Гражданско-правовая ответственность является механизмом охраны окружающей среды и заключается в возложении на правонарушителя обязанности возместить потерпевшей стороне моральный или имущественный вред, причиненный в результате нарушения природоохранного законодательства.</w:t>
      </w:r>
    </w:p>
    <w:p>
      <w:pPr>
        <w:pStyle w:val="BodyText"/>
      </w:pPr>
      <w:r>
        <w:t xml:space="preserve">​​​​​​​</w:t>
      </w:r>
    </w:p>
    <w:p>
      <w:pPr>
        <w:pStyle w:val="BodyText"/>
      </w:pPr>
      <w:r>
        <w:br/>
      </w:r>
    </w:p>
    <w:p>
      <w:pPr>
        <w:pStyle w:val="BodyText"/>
      </w:pPr>
      <w:r>
        <w:t xml:space="preserve">Адрес страницы:</w:t>
      </w:r>
      <w:r>
        <w:t xml:space="preserve"> </w:t>
      </w:r>
      <w:hyperlink r:id="rId20">
        <w:r>
          <w:rPr>
            <w:rStyle w:val="Hyperlink"/>
          </w:rPr>
          <w:t xml:space="preserve">http://basman.mos.ru/presscenter/important-information/detail/12063062.html</w:t>
        </w:r>
      </w:hyperlink>
    </w:p>
    <w:p>
      <w:pPr>
        <w:pStyle w:val="BodyText"/>
      </w:pPr>
      <w:hyperlink r:id="rId21">
        <w:r>
          <w:rPr>
            <w:rStyle w:val="Hyperlink"/>
          </w:rPr>
          <w:t xml:space="preserve">Управа Басманного района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asman.mos.ru" TargetMode="External" /><Relationship Type="http://schemas.openxmlformats.org/officeDocument/2006/relationships/hyperlink" Id="rId20" Target="http://basman.mos.ru/presscenter/important-information/detail/12063062.html" TargetMode="External" /></Relationships>
</file>

<file path=word/_rels/footnotes.xml.rels><?xml version="1.0" encoding="UTF-8"?><Relationships xmlns="http://schemas.openxmlformats.org/package/2006/relationships"><Relationship Type="http://schemas.openxmlformats.org/officeDocument/2006/relationships/hyperlink" Id="rId21" Target="http://basman.mos.ru" TargetMode="External" /><Relationship Type="http://schemas.openxmlformats.org/officeDocument/2006/relationships/hyperlink" Id="rId20" Target="http://basman.mos.ru/presscenter/important-information/detail/1206306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2025-08-05T14:42:15Z</dcterms:created>
  <dcterms:modified xsi:type="dcterms:W3CDTF">2025-08-05T14:42:15Z</dcterms:modified>
</cp:coreProperties>
</file>

<file path=docProps/custom.xml><?xml version="1.0" encoding="utf-8"?>
<Properties xmlns="http://schemas.openxmlformats.org/officeDocument/2006/custom-properties" xmlns:vt="http://schemas.openxmlformats.org/officeDocument/2006/docPropsVTypes"/>
</file>