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 ветеринарно-санитарные мероприятия</w:t>
      </w:r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rPr>
          <w:bCs/>
          <w:b/>
        </w:rPr>
        <w:t xml:space="preserve">уничтожение</w:t>
      </w:r>
      <w:r>
        <w:t xml:space="preserve"> </w:t>
      </w:r>
      <w:hyperlink r:id="rId23">
        <w:r>
          <w:rPr>
            <w:rStyle w:val="Hyperlink"/>
          </w:rPr>
          <w:t xml:space="preserve">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</w:t>
      </w:r>
      <w:r>
        <w:t xml:space="preserve"> </w:t>
      </w:r>
      <w:hyperlink r:id="rId25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t xml:space="preserve">по их требованию</w:t>
      </w:r>
      <w:r>
        <w:t xml:space="preserve"> </w:t>
      </w:r>
      <w:r>
        <w:rPr>
          <w:bCs/>
          <w:b/>
        </w:rPr>
        <w:t xml:space="preserve">доступ к животным</w:t>
      </w:r>
      <w:r>
        <w:t xml:space="preserve"> </w:t>
      </w:r>
      <w:r>
        <w:rPr>
          <w:bCs/>
          <w:b/>
        </w:rPr>
        <w:t xml:space="preserve">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6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7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в учреждениях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Государственной ветеринарной службой города Москвы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Учету и маркированию подлежат следующие виды 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скот,</w:t>
      </w:r>
      <w:r>
        <w:t xml:space="preserve"> </w:t>
      </w:r>
      <w:r>
        <w:t xml:space="preserve">в том числе зебу, буйволы и яки</w:t>
      </w:r>
    </w:p>
    <w:p>
      <w:pPr>
        <w:pStyle w:val="BodyText"/>
      </w:pPr>
      <w:r>
        <w:rPr>
          <w:bCs/>
          <w:b/>
        </w:rPr>
        <w:t xml:space="preserve">• лошади, ослы,</w:t>
      </w:r>
      <w:r>
        <w:t xml:space="preserve"> </w:t>
      </w:r>
      <w:r>
        <w:t xml:space="preserve">мулы, лошаки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 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</w:t>
      </w:r>
      <w:r>
        <w:rPr>
          <w:bCs/>
          <w:b/>
        </w:rPr>
        <w:t xml:space="preserve">,</w:t>
      </w:r>
      <w:r>
        <w:t xml:space="preserve"> </w:t>
      </w:r>
      <w:r>
        <w:rPr>
          <w:bCs/>
          <w:b/>
        </w:rPr>
        <w:t xml:space="preserve">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 Тип средства маркирования владелец может выбрать в зависимости от вида животного. Это может быть пластмассовая бирка, подкожный микрочип, болюс, кольцо или ошейник.</w:t>
      </w:r>
      <w:r>
        <w:t xml:space="preserve"> </w:t>
      </w:r>
      <w:r>
        <w:t xml:space="preserve"> </w:t>
      </w:r>
      <w:r>
        <w:t xml:space="preserve">В качестве средства индивидуального маркирования для домашней птицы используются кольцо, вживляемый микрочип, пластина, закрепляемая на крыле птицы.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</w:t>
      </w:r>
      <w:r>
        <w:t xml:space="preserve"> </w:t>
      </w:r>
      <w:r>
        <w:t xml:space="preserve"> </w:t>
      </w:r>
      <w:r>
        <w:t xml:space="preserve">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специалистами Госветслужбы в</w:t>
      </w:r>
      <w:r>
        <w:t xml:space="preserve"> </w:t>
      </w:r>
      <w:hyperlink r:id="rId28">
        <w:r>
          <w:rPr>
            <w:rStyle w:val="Hyperlink"/>
          </w:rPr>
          <w:t xml:space="preserve">Государственную информационную систему в области ветеринарии (ФГИС «ВетИС»).</w:t>
        </w:r>
      </w:hyperlink>
    </w:p>
    <w:p>
      <w:pPr>
        <w:pStyle w:val="BodyText"/>
      </w:pPr>
      <w:r>
        <w:t xml:space="preserve">В случае</w:t>
      </w:r>
      <w:r>
        <w:t xml:space="preserve"> </w:t>
      </w:r>
      <w:r>
        <w:rPr>
          <w:bCs/>
          <w:b/>
        </w:rPr>
        <w:t xml:space="preserve">утери или повреждения</w:t>
      </w:r>
      <w:r>
        <w:t xml:space="preserve"> </w:t>
      </w:r>
      <w:r>
        <w:t xml:space="preserve">средства маркирования владелец животного обязан уведомить ветеринарных специалистов</w:t>
      </w:r>
      <w:r>
        <w:t xml:space="preserve"> </w:t>
      </w:r>
      <w:hyperlink r:id="rId29">
        <w:r>
          <w:rPr>
            <w:rStyle w:val="Hyperlink"/>
          </w:rPr>
          <w:t xml:space="preserve">Станций по борьбе с болезнями животных административных округов города Москвы ГБУ «Мосветобъединение».</w:t>
        </w:r>
      </w:hyperlink>
    </w:p>
    <w:p>
      <w:pPr>
        <w:pStyle w:val="BodyText"/>
      </w:pPr>
      <w:r>
        <w:t xml:space="preserve">В случаях гибели и (или) заболевании сельскохозяйственных животных</w:t>
      </w:r>
      <w:r>
        <w:t xml:space="preserve"> 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обнаружении трупов диких животных (дикая водоплавающая птица, кабаны, лисы и др.), выявления случаев сброса в окружающую</w:t>
      </w:r>
      <w:r>
        <w:t xml:space="preserve"> </w:t>
      </w:r>
      <w:r>
        <w:t xml:space="preserve">среду отходов убоя и переработки животных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 </w:t>
      </w:r>
      <w:r>
        <w:rPr>
          <w:bCs/>
          <w:b/>
        </w:rPr>
        <w:t xml:space="preserve">незамедлительно</w:t>
      </w:r>
      <w:r>
        <w:t xml:space="preserve"> </w:t>
      </w:r>
      <w:r>
        <w:rPr>
          <w:bCs/>
          <w:b/>
        </w:rPr>
        <w:t xml:space="preserve">извещать</w:t>
      </w:r>
      <w:r>
        <w:t xml:space="preserve"> </w:t>
      </w:r>
      <w:r>
        <w:t xml:space="preserve">специалистов</w:t>
      </w:r>
      <w:r>
        <w:t xml:space="preserve"> </w:t>
      </w:r>
      <w:r>
        <w:t xml:space="preserve"> </w:t>
      </w:r>
      <w:r>
        <w:t xml:space="preserve">Государственной ветеринарной службы города Москвы по следующим каналам оперативной связи: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«Горячей линии»</w:t>
      </w:r>
      <w:r>
        <w:t xml:space="preserve"> </w:t>
      </w:r>
      <w:r>
        <w:rPr>
          <w:bCs/>
          <w:b/>
        </w:rPr>
        <w:t xml:space="preserve">8 (495) 612-12-12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</w:t>
      </w:r>
      <w:r>
        <w:t xml:space="preserve"> </w:t>
      </w:r>
      <w:r>
        <w:rPr>
          <w:bCs/>
          <w:b/>
        </w:rPr>
        <w:t xml:space="preserve">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http://basman.mos.ru/presscenter/important-information/detail/12096382.html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basman.mos.ru" TargetMode="External" /><Relationship Type="http://schemas.openxmlformats.org/officeDocument/2006/relationships/hyperlink" Id="rId30" Target="http://basman.mos.ru/presscenter/important-information/detail/12096382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basman.mos.ru" TargetMode="External" /><Relationship Type="http://schemas.openxmlformats.org/officeDocument/2006/relationships/hyperlink" Id="rId30" Target="http://basman.mos.ru/presscenter/important-information/detail/12096382.html" TargetMode="External" /><Relationship Type="http://schemas.openxmlformats.org/officeDocument/2006/relationships/hyperlink" Id="rId28" Target="https://fsvps.gov.ru/informacionnye-sistemy/" TargetMode="External" /><Relationship Type="http://schemas.openxmlformats.org/officeDocument/2006/relationships/hyperlink" Id="rId25" Target="https://mos-obvet.ru/" TargetMode="External" /><Relationship Type="http://schemas.openxmlformats.org/officeDocument/2006/relationships/hyperlink" Id="rId29" Target="https://mos-obvet.ru/clinics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3" Target="https://www.mos.ru/moskomvet/documents/4/view/246457220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6" Target="https://www.mos.ru/moskomvet/documents/4/view/296030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7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2025-02-27T20:54:39Z</dcterms:created>
  <dcterms:modified xsi:type="dcterms:W3CDTF">2025-02-27T20:54:39Z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