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71eb87bb1f40ccee7679ce4ba10bfd565d6535"/>
    <w:p>
      <w:pPr>
        <w:pStyle w:val="Heading3"/>
      </w:pPr>
      <w:r>
        <w:t xml:space="preserve">Cроки представления уведомления об исчисленных суммах налогов, авансовых платежей по налогам, сборов, страховых взносов</w:t>
      </w:r>
    </w:p>
    <w:p>
      <w:pPr>
        <w:pStyle w:val="FirstParagraph"/>
      </w:pPr>
      <w:r>
        <w:t xml:space="preserve">01.02.2024</w:t>
      </w:r>
    </w:p>
    <w:p>
      <w:pPr>
        <w:pStyle w:val="BodyText"/>
      </w:pPr>
      <w:hyperlink r:id="rId20"/>
    </w:p>
    <w:p>
      <w:pPr>
        <w:pStyle w:val="BodyText"/>
      </w:pPr>
      <w:r>
        <w:drawing>
          <wp:inline>
            <wp:extent cx="5334000" cy="755294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asman.mos.ru/www/presscenter/FNS/Памятка-Уведомление-об-исчисленных-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http://basman.mos.ru/presscenter/important-information/detail/12140490.html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0" Target="/presscenter/FNS/&#1055;&#1072;&#1084;&#1103;&#1090;&#1082;&#1072;%20&#1059;&#1074;&#1077;&#1076;&#1086;&#1084;&#1083;&#1077;&#1085;&#1080;&#1077;%20&#1086;&#1073;%20&#1080;&#1089;&#1095;&#1080;&#1089;&#1083;&#1077;&#1085;&#1085;&#1099;&#1093;.pdf" TargetMode="External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important-information/detail/121404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presscenter/FNS/&#1055;&#1072;&#1084;&#1103;&#1090;&#1082;&#1072;%20&#1059;&#1074;&#1077;&#1076;&#1086;&#1084;&#1083;&#1077;&#1085;&#1080;&#1077;%20&#1086;&#1073;%20&#1080;&#1089;&#1095;&#1080;&#1089;&#1083;&#1077;&#1085;&#1085;&#1099;&#1093;.pdf" TargetMode="External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important-information/detail/121404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2025-02-27T10:36:58Z</dcterms:created>
  <dcterms:modified xsi:type="dcterms:W3CDTF">2025-02-27T10:36:58Z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