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08d2cc7e02ecdc718c6334b288c15ce99656ec"/>
    <w:p>
      <w:pPr>
        <w:pStyle w:val="Heading3"/>
      </w:pPr>
      <w:r>
        <w:t xml:space="preserve">Информируйте ФНС России о фактах не выдачи кассового чека или выдачи кассового чека с нарушением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листовка%2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asman.mos.ru/www/upload/листовка%20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http://basman.mos.ru/presscenter/important-information/detail/12336825.html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asman.mos.ru" TargetMode="External" /><Relationship Type="http://schemas.openxmlformats.org/officeDocument/2006/relationships/hyperlink" Id="rId26" Target="http://basman.mos.ru/presscenter/important-information/detail/123368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asman.mos.ru" TargetMode="External" /><Relationship Type="http://schemas.openxmlformats.org/officeDocument/2006/relationships/hyperlink" Id="rId26" Target="http://basman.mos.ru/presscenter/important-information/detail/123368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2025-02-27T14:31:46Z</dcterms:created>
  <dcterms:modified xsi:type="dcterms:W3CDTF">2025-02-27T14:31:46Z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