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cd8316a72fe0cd059e2abc6b64a56796e1347"/>
    <w:p>
      <w:pPr>
        <w:pStyle w:val="Heading3"/>
      </w:pPr>
      <w:r>
        <w:t xml:space="preserve">Уплатите налоги не позднее 2 декабря 2024 года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В связи с проводимой публичной информационной кампанией по исполнению</w:t>
      </w:r>
      <w:r>
        <w:br/>
      </w:r>
      <w:r>
        <w:t xml:space="preserve">налоговых уведомлений в 2024 году, утвержденной приказом Управления Федеральной</w:t>
      </w:r>
      <w:r>
        <w:br/>
      </w:r>
      <w:r>
        <w:t xml:space="preserve">налоговой службы по г. Москве от 30.07.2024 №207, Инспекция Федеральной налоговой</w:t>
      </w:r>
      <w:r>
        <w:br/>
      </w:r>
      <w:r>
        <w:t xml:space="preserve">службы № 1 по г. Москве информирует, что уплатить налоги необходимо   не позднее</w:t>
      </w:r>
      <w:r>
        <w:br/>
      </w:r>
      <w:r>
        <w:t xml:space="preserve">2 декабря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http://basman.mos.ru/presscenter/important-information/detail/12650347.html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50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650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2024-11-12T21:03:08Z</dcterms:created>
  <dcterms:modified xsi:type="dcterms:W3CDTF">2024-11-12T21:03:08Z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