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beb6cfe25a7235c0e731b5c6fda0a27bca0f2be"/>
    <w:p>
      <w:pPr>
        <w:pStyle w:val="Heading3"/>
      </w:pPr>
      <w:r>
        <w:t xml:space="preserve">Федеральный проект "Санитарный щит страны - безопасность для здоровья"</w:t>
      </w:r>
    </w:p>
    <w:p>
      <w:pPr>
        <w:pStyle w:val="FirstParagraph"/>
      </w:pPr>
      <w:r>
        <w:t xml:space="preserve">10.02.2025</w:t>
      </w:r>
    </w:p>
    <w:p>
      <w:pPr>
        <w:pStyle w:val="BodyText"/>
      </w:pPr>
      <w:r>
        <w:t xml:space="preserve">Фото: пресс-служба Роспотребнадзора</w:t>
      </w:r>
    </w:p>
    <w:p>
      <w:pPr>
        <w:pStyle w:val="BodyText"/>
      </w:pPr>
      <w:r>
        <w:t xml:space="preserve">«Санитарный щит – безопасность для здоровья (предупреждение, выявление, реагирование)» – это федеральный проект, направленный на развитие проактивной и устойчивой системы защиты населения от биологических и санитарно-эпидемиологических угроз.</w:t>
      </w:r>
    </w:p>
    <w:p>
      <w:pPr>
        <w:pStyle w:val="BodyText"/>
      </w:pPr>
      <w:r>
        <w:t xml:space="preserve">Задача проекта – создать эффективный барьер для эпидемий на трех рубежах: внутри страны, в ближнем и дальнем зарубежье.</w:t>
      </w:r>
    </w:p>
    <w:p>
      <w:pPr>
        <w:pStyle w:val="BodyText"/>
      </w:pPr>
      <w:r>
        <w:t xml:space="preserve">«Санитарный щит» предполагает проактивную модель защиты здоровья человека от инфекционных угроз. Проактивная, то есть профилактическая, – когда мы не реагируем на угрозы, а прогнозируем и предупреждаем их, а также готовимся к реагированию, создавая заделы.</w:t>
      </w:r>
    </w:p>
    <w:p>
      <w:pPr>
        <w:pStyle w:val="BodyText"/>
      </w:pPr>
      <w:r>
        <w:t xml:space="preserve">Проект опирается на достижения в области генетических технологий, лабораторных исследований, цифровизации, коммуникаций и содержит четыре основных блока работ:</w:t>
      </w:r>
    </w:p>
    <w:p>
      <w:pPr>
        <w:pStyle w:val="BodyText"/>
      </w:pPr>
      <w:r>
        <w:t xml:space="preserve">защита от угроз безопасности здоровью 24/7;</w:t>
      </w:r>
    </w:p>
    <w:p>
      <w:pPr>
        <w:pStyle w:val="BodyText"/>
      </w:pPr>
      <w:r>
        <w:t xml:space="preserve">лабораторная инфраструктура XXI века;</w:t>
      </w:r>
    </w:p>
    <w:p>
      <w:pPr>
        <w:pStyle w:val="BodyText"/>
      </w:pPr>
      <w:r>
        <w:t xml:space="preserve">разработка тест-систем для выявления новых инфекционных болезней за четыре дня, вакцин – за четыре месяца;</w:t>
      </w:r>
    </w:p>
    <w:p>
      <w:pPr>
        <w:pStyle w:val="BodyText"/>
      </w:pPr>
      <w:r>
        <w:t xml:space="preserve">новая модель санитарно-эпидемиологического поведения.</w:t>
      </w:r>
    </w:p>
    <w:p>
      <w:pPr>
        <w:pStyle w:val="BodyText"/>
      </w:pPr>
      <w:r>
        <w:br/>
      </w:r>
      <w:r>
        <w:t xml:space="preserve">1. ЗАЩИТА ОТ УГРОЗ БЕЗОПАСНОСТИ ЗДОРОВЬЮ 24/7.</w:t>
      </w:r>
    </w:p>
    <w:p>
      <w:pPr>
        <w:pStyle w:val="BodyText"/>
      </w:pPr>
      <w:r>
        <w:t xml:space="preserve">Первый блок направлен на мониторинг и предупреждение возникновения вспышек и завоза инфекции из-за рубежа. Он включает мероприятия:</w:t>
      </w:r>
    </w:p>
    <w:p>
      <w:pPr>
        <w:pStyle w:val="BodyText"/>
      </w:pPr>
      <w:r>
        <w:t xml:space="preserve">1) Обеспечение экспресс-тестирования инфекционных болезней во всех пунктах пропуска через государственную границу (всего 241 санитарно-карантинный пункт).</w:t>
      </w:r>
    </w:p>
    <w:p>
      <w:pPr>
        <w:pStyle w:val="BodyText"/>
      </w:pPr>
      <w:r>
        <w:t xml:space="preserve">2) Цифровая трансформация мониторинга эпидситуации в России и мире за счет использования «больших данных» и искусственного интеллекта для повышения точности прогнозов инфекций и снижения рисков заражения. Внедрение в пунктах пропуска АИС «Периметр» позволит снизить время прохождения санитарно-карантинного контроля для пассажиров, отказаться от сплошного контроля в пользу рейсов с подтвержденным риском завоза опасных инфекций.</w:t>
      </w:r>
    </w:p>
    <w:p>
      <w:pPr>
        <w:pStyle w:val="BodyText"/>
      </w:pPr>
      <w:r>
        <w:t xml:space="preserve">3) Создание международного Центра реагирования на эпидемии и развитие сети из четырех совместных лабораторий в эпидемически значимых регионах мира (Вьетнам, Гвинея, Центральная Африка, Южная Америка) даст возможность контролировать и изучать опасные инфекции, разрабатывать вакцины до попадания их на территорию России.</w:t>
      </w:r>
    </w:p>
    <w:p>
      <w:pPr>
        <w:pStyle w:val="BodyText"/>
      </w:pPr>
      <w:r>
        <w:t xml:space="preserve">4) Внедрение 13 мобильных пунктов пропуска позволит оперативно усилить санитарно-карантинный контроль на отдельных участках государственной границы в случае необходимости, например, при вспышке опасных инфекций или увеличении потока въезжающих в Россию из эпидемически неблагоприятных регионов.</w:t>
      </w:r>
    </w:p>
    <w:p>
      <w:pPr>
        <w:pStyle w:val="BodyText"/>
      </w:pPr>
      <w:r>
        <w:t xml:space="preserve">2. ЛАБОРАТОРНАЯ ИНФРАСТРУКТУРА XXI ВЕКА.</w:t>
      </w:r>
    </w:p>
    <w:p>
      <w:pPr>
        <w:pStyle w:val="BodyText"/>
      </w:pPr>
      <w:r>
        <w:t xml:space="preserve">Мероприятия второго блока направлены на укрепление и развитие лабораторной инфраструктуры. Он включает:</w:t>
      </w:r>
    </w:p>
    <w:p>
      <w:pPr>
        <w:pStyle w:val="BodyText"/>
      </w:pPr>
      <w:r>
        <w:t xml:space="preserve">1) Создание современной сети лабораторий:</w:t>
      </w:r>
    </w:p>
    <w:p>
      <w:pPr>
        <w:pStyle w:val="BodyText"/>
      </w:pPr>
      <w:r>
        <w:t xml:space="preserve">– создание (строительство и реконструкция) 36 лабораторий высокого уровня биологической безопасности. Позволит сформировать передовую сеть научных лабораторий и укрепить фундамент для мониторинга за возбудителями и их генетической изменчивостью, санитарной защиты границ, противоэпидемических мероприятий;</w:t>
      </w:r>
    </w:p>
    <w:p>
      <w:pPr>
        <w:pStyle w:val="BodyText"/>
      </w:pPr>
      <w:r>
        <w:t xml:space="preserve">– расширение сети современных лабораторий для населения. Лабораторная диагностика инфекций должна стать доступной для каждого в течение 24 часов в любой точке страны, в том числе с привлечением мобильных лабораторий.</w:t>
      </w:r>
    </w:p>
    <w:p>
      <w:pPr>
        <w:pStyle w:val="BodyText"/>
      </w:pPr>
      <w:r>
        <w:t xml:space="preserve">2) Цифровая трансформация взаимодействия «человек – лаборатория», которая позволяет приблизить современные технологии диагностики к людям:</w:t>
      </w:r>
    </w:p>
    <w:p>
      <w:pPr>
        <w:pStyle w:val="BodyText"/>
      </w:pPr>
      <w:r>
        <w:t xml:space="preserve">– внедрение быстрых (60 минут) тестов для выявления наиболее эпидемически и экономически значимых инфекций;</w:t>
      </w:r>
    </w:p>
    <w:p>
      <w:pPr>
        <w:pStyle w:val="BodyText"/>
      </w:pPr>
      <w:r>
        <w:t xml:space="preserve">– через 60 минут после получения результатов в лаборатории они будут доступны гражданам в личном кабинете на Госуслугах.</w:t>
      </w:r>
    </w:p>
    <w:p>
      <w:pPr>
        <w:pStyle w:val="BodyText"/>
      </w:pPr>
      <w:r>
        <w:t xml:space="preserve">3) Создание национального электронного каталога микроорганизмов и биотоксинов с цифровой информацией о возбудителях инфекций и их генетических характеристиках. Каталог позволит ученым:</w:t>
      </w:r>
    </w:p>
    <w:p>
      <w:pPr>
        <w:pStyle w:val="BodyText"/>
      </w:pPr>
      <w:r>
        <w:t xml:space="preserve">– за 24 часа расшифровать любую неизвестную инфекцию и начать ее исследования для разработки средств диагностики и профилактики;</w:t>
      </w:r>
    </w:p>
    <w:p>
      <w:pPr>
        <w:pStyle w:val="BodyText"/>
      </w:pPr>
      <w:r>
        <w:t xml:space="preserve">– за четыре дня разработать тест-систему для диагностики новой инфекции.</w:t>
      </w:r>
      <w:r>
        <w:br/>
      </w:r>
      <w:r>
        <w:br/>
      </w:r>
      <w:r>
        <w:t xml:space="preserve">3. РАЗРАБОТКА ТЕСТ-СИСТЕМ ДЛЯ ВЫЯВЛЕНИЯ НОВЫХ ИНФЕКЦИОННЫХ БОЛЕЗНЕЙ ЗА ЧЕТЫРЕ ДНЯ, ВАКЦИН – ЗА ЧЕТЫРЕ МЕСЯЦА.</w:t>
      </w:r>
    </w:p>
    <w:p>
      <w:pPr>
        <w:pStyle w:val="BodyText"/>
      </w:pPr>
      <w:r>
        <w:t xml:space="preserve">Третий блок мероприятий направлен на формирование резерва для реагирования на эпидемиологические шоки. Он включает:</w:t>
      </w:r>
    </w:p>
    <w:p>
      <w:pPr>
        <w:pStyle w:val="BodyText"/>
      </w:pPr>
      <w:r>
        <w:t xml:space="preserve">1) Создание трехуровневой системы мониторинга и реагирования на инфекционные угрозы: внутри страны, в ближнем и дальнем зарубежье для повышения степени защиты от пандемий.</w:t>
      </w:r>
    </w:p>
    <w:p>
      <w:pPr>
        <w:pStyle w:val="BodyText"/>
      </w:pPr>
      <w:r>
        <w:t xml:space="preserve">2) Создание 20 дополнительных мобильных лабораторий и создание резервных лабораторных мощностей для массового тестирования любой инфекции в любой точке страны. В том числе будут созданы 40 новых центров ПЦР. Это позволит увеличить количество проводимых исследований до 500 тестов в день на 100 тыс. населения.</w:t>
      </w:r>
    </w:p>
    <w:p>
      <w:pPr>
        <w:pStyle w:val="BodyText"/>
      </w:pPr>
      <w:r>
        <w:t xml:space="preserve">3) Создание платформенных решений для быстрой разработки вакцины в случае появления неизвестной инфекции – технологий «заготовок», позволяющих в случае появления новой инфекции определенного семейства микроорганизмов быстро подобрать и «доконструировать» подходящую платформу и провести необходимые доклинические и клинические исследования. Вакцины от новой инфекции будут создаваться за четыре месяца, что позволит в случае необходимости начать массовую вакцинацию практически в два раза раньше, чем при СОVID-19.</w:t>
      </w:r>
      <w:r>
        <w:br/>
      </w:r>
      <w:r>
        <w:br/>
      </w:r>
      <w:r>
        <w:t xml:space="preserve">4. НОВАЯ МОДЕЛЬ САНИТАРНО-ЭПИДЕМИОЛОГИЧЕСКОГО ПОВЕДЕНИЯ.</w:t>
      </w:r>
    </w:p>
    <w:p>
      <w:pPr>
        <w:pStyle w:val="BodyText"/>
      </w:pPr>
      <w:r>
        <w:t xml:space="preserve">Мероприятия четвертого блока направлены на формирование санитарной культуры населения. Он включает:</w:t>
      </w:r>
    </w:p>
    <w:p>
      <w:pPr>
        <w:pStyle w:val="BodyText"/>
      </w:pPr>
      <w:r>
        <w:t xml:space="preserve">1) Создание цифровой экосистемы «Безопасная среда обитания» для информирования населения о безопасности и качестве воды, пищи, воздуха и эпидемических рисках. В режиме реального времени в едином онлайн-ресурсе каждому россиянину будет доступна достоверная информация о состоянии окружающей среды и рекомендации по профилактике на простом и понятном языке. Человек сможет действовать, снизить риски для себя и окружающих.</w:t>
      </w:r>
    </w:p>
    <w:p>
      <w:pPr>
        <w:pStyle w:val="BodyText"/>
      </w:pPr>
      <w:r>
        <w:t xml:space="preserve">2) Усиление медицинских кадров в сфере биологической безопасности:</w:t>
      </w:r>
    </w:p>
    <w:p>
      <w:pPr>
        <w:pStyle w:val="BodyText"/>
      </w:pPr>
      <w:r>
        <w:t xml:space="preserve">– создание научно-образовательного консорциума, который объединит 35 учреждений для подготовки специалистов в области эпидемиологии, микробиологии со школьной скамьи;</w:t>
      </w:r>
    </w:p>
    <w:p>
      <w:pPr>
        <w:pStyle w:val="BodyText"/>
      </w:pPr>
      <w:r>
        <w:t xml:space="preserve">– создание новых центров подготовки, где будут применены новые подходы к образованию в области санитарно-эпидемиологической безопасности, в том числе симуляционные технологии.</w:t>
      </w:r>
    </w:p>
    <w:p>
      <w:pPr>
        <w:pStyle w:val="BodyText"/>
      </w:pPr>
      <w:r>
        <w:t xml:space="preserve">3) Внедрение консультативного эпидемиологического портала для бизнеса (КЭП) о рекомендациях по соблюдению на предприятиях мер безопасности при санитарно-эпидемиологических угрозах.</w:t>
      </w:r>
      <w:r>
        <w:br/>
      </w:r>
      <w:r>
        <w:br/>
      </w:r>
      <w:r>
        <w:t xml:space="preserve">КЛЮЧЕВЫЕ РЕЗУЛЬТАТЫ (ИТОГИ)</w:t>
      </w:r>
    </w:p>
    <w:p>
      <w:pPr>
        <w:pStyle w:val="BodyText"/>
      </w:pPr>
      <w:r>
        <w:t xml:space="preserve">2022–2023 годы:</w:t>
      </w:r>
    </w:p>
    <w:p>
      <w:pPr>
        <w:pStyle w:val="BodyText"/>
      </w:pPr>
      <w:r>
        <w:t xml:space="preserve">развитие передовой национальной лабораторной инфраструктуры;</w:t>
      </w:r>
    </w:p>
    <w:p>
      <w:pPr>
        <w:pStyle w:val="BodyText"/>
      </w:pPr>
      <w:r>
        <w:t xml:space="preserve">усиление системы защиты от биологических угроз на границах страны и за рубежом;</w:t>
      </w:r>
    </w:p>
    <w:p>
      <w:pPr>
        <w:pStyle w:val="BodyText"/>
      </w:pPr>
      <w:r>
        <w:t xml:space="preserve">формирование резервов для оперативного реагирования на эпидемиологические угрозы.</w:t>
      </w:r>
    </w:p>
    <w:p>
      <w:pPr>
        <w:pStyle w:val="BodyText"/>
      </w:pPr>
      <w:r>
        <w:t xml:space="preserve">К концу 2024 года:</w:t>
      </w:r>
    </w:p>
    <w:p>
      <w:pPr>
        <w:pStyle w:val="BodyText"/>
      </w:pPr>
      <w:r>
        <w:t xml:space="preserve">прогнозирование эпидситуации с точностью до 90%;</w:t>
      </w:r>
    </w:p>
    <w:p>
      <w:pPr>
        <w:pStyle w:val="BodyText"/>
      </w:pPr>
      <w:r>
        <w:t xml:space="preserve">блокирование проникновения биологических угроз на территорию страны;</w:t>
      </w:r>
    </w:p>
    <w:p>
      <w:pPr>
        <w:pStyle w:val="BodyText"/>
      </w:pPr>
      <w:r>
        <w:t xml:space="preserve">распознавание любой новой инфекции и разработка тест-систем за четыре дня и вакцины за четыре месяца;</w:t>
      </w:r>
    </w:p>
    <w:p>
      <w:pPr>
        <w:pStyle w:val="BodyText"/>
      </w:pPr>
      <w:r>
        <w:t xml:space="preserve">обеспечение доступного (в течение 24 часов в любой точке страны) и быстрого (60 минут) тестирования инфекций;</w:t>
      </w:r>
    </w:p>
    <w:p>
      <w:pPr>
        <w:pStyle w:val="BodyText"/>
      </w:pPr>
      <w:r>
        <w:t xml:space="preserve">обеспечение работы организаций и предприятий без локдауна в период эпидемических шоков.</w:t>
      </w:r>
    </w:p>
    <w:p>
      <w:pPr>
        <w:pStyle w:val="BodyText"/>
      </w:pPr>
      <w:r>
        <w:t xml:space="preserve">К 2030 году:</w:t>
      </w:r>
    </w:p>
    <w:p>
      <w:pPr>
        <w:pStyle w:val="BodyText"/>
      </w:pPr>
      <w:r>
        <w:t xml:space="preserve">повышение уровня санитарной грамотности населения до 70% и доверия к противоэпидемическим мерам;</w:t>
      </w:r>
    </w:p>
    <w:p>
      <w:pPr>
        <w:pStyle w:val="BodyText"/>
      </w:pPr>
      <w:r>
        <w:t xml:space="preserve">100% кадровая обеспеченность специалистами по биологической безопасности, эпидемиологии и микробиологии.</w:t>
      </w:r>
    </w:p>
    <w:p>
      <w:pPr>
        <w:pStyle w:val="BodyText"/>
      </w:pPr>
      <w:r>
        <w:t xml:space="preserve">ЭФФЕКТЫ ОТ РЕАЛИЗАЦИИ ПРОЕКТА</w:t>
      </w:r>
    </w:p>
    <w:p>
      <w:pPr>
        <w:pStyle w:val="BodyText"/>
      </w:pPr>
      <w:r>
        <w:t xml:space="preserve">Снижение заболеваемости от инфекционных заболеваний на 2%.</w:t>
      </w:r>
    </w:p>
    <w:p>
      <w:pPr>
        <w:pStyle w:val="BodyText"/>
      </w:pPr>
      <w:r>
        <w:t xml:space="preserve">Обеспечение быстрой и качественной диагностикой 80% граждан.</w:t>
      </w:r>
    </w:p>
    <w:p>
      <w:pPr>
        <w:pStyle w:val="BodyText"/>
      </w:pPr>
      <w:r>
        <w:t xml:space="preserve">Снижение бремени болезней, связанных с факторами окружающей среды, на 6%.</w:t>
      </w:r>
    </w:p>
    <w:p>
      <w:pPr>
        <w:pStyle w:val="BodyText"/>
      </w:pPr>
      <w:r>
        <w:t xml:space="preserve">Рост доверия граждан к принимаемым санитарным мерам – на 30%.</w:t>
      </w:r>
    </w:p>
    <w:p>
      <w:pPr>
        <w:pStyle w:val="BodyText"/>
      </w:pPr>
      <w:r>
        <w:t xml:space="preserve">Сокращение экономического ущерба от острых инфекционных болезней не менее чем на 40 млрд рублей в год.</w:t>
      </w:r>
    </w:p>
    <w:p>
      <w:pPr>
        <w:pStyle w:val="BodyText"/>
      </w:pPr>
      <w:r>
        <w:t xml:space="preserve">КЛЮЧЕВЫЕ МЕССЕДЖИ ПРОЕКТА</w:t>
      </w:r>
    </w:p>
    <w:p>
      <w:pPr>
        <w:pStyle w:val="BodyText"/>
      </w:pPr>
      <w:r>
        <w:t xml:space="preserve">Барьеры для инфекций, а не для людей.</w:t>
      </w:r>
    </w:p>
    <w:p>
      <w:pPr>
        <w:pStyle w:val="BodyText"/>
      </w:pPr>
      <w:r>
        <w:t xml:space="preserve">Россия – территория безопасности для здоровья. Реагируем, опережая вызовы.</w:t>
      </w:r>
    </w:p>
    <w:p>
      <w:pPr>
        <w:pStyle w:val="BodyText"/>
      </w:pPr>
      <w:r>
        <w:t xml:space="preserve">В центре «Санитарного щита» – человек и его ожидания.</w:t>
      </w:r>
    </w:p>
    <w:p>
      <w:pPr>
        <w:pStyle w:val="BodyText"/>
      </w:pPr>
      <w:r>
        <w:t xml:space="preserve">Жизнь без локдаунов.</w:t>
      </w:r>
    </w:p>
    <w:p>
      <w:pPr>
        <w:pStyle w:val="BodyText"/>
      </w:pPr>
      <w:r>
        <w:t xml:space="preserve">Более подробно ознакомится с материалами по данной тематике можно на сайтах федерального проекта «Санитарный щит страны - безопасность для здоровья»:</w:t>
      </w:r>
      <w:r>
        <w:t xml:space="preserve"> </w:t>
      </w:r>
      <w:hyperlink r:id="rId20">
        <w:r>
          <w:rPr>
            <w:rStyle w:val="Hyperlink"/>
          </w:rPr>
          <w:t xml:space="preserve">https://санщит.рус</w:t>
        </w:r>
      </w:hyperlink>
      <w:r>
        <w:t xml:space="preserve"> </w:t>
      </w:r>
      <w:r>
        <w:t xml:space="preserve">и ФБУЗ «Центр гигиенического образования населения» Роспотребнадзора</w:t>
      </w:r>
      <w:r>
        <w:t xml:space="preserve"> </w:t>
      </w:r>
      <w:hyperlink r:id="rId21">
        <w:r>
          <w:rPr>
            <w:rStyle w:val="Hyperlink"/>
          </w:rPr>
          <w:t xml:space="preserve">https://cgon.rospotrebnadzor.ru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http://basman.mos.ru/presscenter/important-information/detail/12800744.html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basman.mos.ru" TargetMode="External" /><Relationship Type="http://schemas.openxmlformats.org/officeDocument/2006/relationships/hyperlink" Id="rId22" Target="http://basman.mos.ru/presscenter/important-information/detail/12800744.html" TargetMode="External" /><Relationship Type="http://schemas.openxmlformats.org/officeDocument/2006/relationships/hyperlink" Id="rId21" Target="https://cgon.rospotrebnadzor.ru/" TargetMode="External" /><Relationship Type="http://schemas.openxmlformats.org/officeDocument/2006/relationships/hyperlink" Id="rId20" Target="https://xn--80aqooi4b.xn--p1acf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basman.mos.ru" TargetMode="External" /><Relationship Type="http://schemas.openxmlformats.org/officeDocument/2006/relationships/hyperlink" Id="rId22" Target="http://basman.mos.ru/presscenter/important-information/detail/12800744.html" TargetMode="External" /><Relationship Type="http://schemas.openxmlformats.org/officeDocument/2006/relationships/hyperlink" Id="rId21" Target="https://cgon.rospotrebnadzor.ru/" TargetMode="External" /><Relationship Type="http://schemas.openxmlformats.org/officeDocument/2006/relationships/hyperlink" Id="rId20" Target="https://xn--80aqooi4b.xn--p1acf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2025-08-05T14:42:17Z</dcterms:created>
  <dcterms:modified xsi:type="dcterms:W3CDTF">2025-08-05T14:42:17Z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