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3a286f7937850b8867bbdf704be7c8d27119a"/>
    <w:p>
      <w:pPr>
        <w:pStyle w:val="Heading3"/>
      </w:pPr>
      <w:r>
        <w:t xml:space="preserve">План мероприятий Государственного бюджетного учреждения города Москвы «Московский дом национальностей» Май 2025 г.</w:t>
      </w:r>
    </w:p>
    <w:p>
      <w:pPr>
        <w:pStyle w:val="FirstParagraph"/>
      </w:pPr>
      <w:r>
        <w:t xml:space="preserve">20.05.2025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</w:tc>
        <w:tc>
          <w:tcPr/>
          <w:p>
            <w:pPr>
              <w:jc w:val="left"/>
            </w:pPr>
            <w:r>
              <w:t xml:space="preserve">Мероприятие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  <w:p>
            <w:pPr>
              <w:jc w:val="left"/>
            </w:pPr>
            <w:r>
              <w:t xml:space="preserve">залы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  <w:jc w:val="left"/>
            </w:pPr>
            <w:bookmarkStart w:id="20" w:name="Xafa40403e7afb7052b975c3f815764f1546ac73"/>
            <w:bookmarkEnd w:id="20"/>
          </w:p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Региональная общественная организация «МЕЖНАЦИОНАЛЬНОЕ АРТ СООБЩЕСТВО». Презентация детской выставки «Моя Россия», посвященной 80-летию Победы в Великой Отечественной войне.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2,3,3а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Лекция «Художники о войне» в рамках проекта «Защитники Отечества: история и современность».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14.00-18.30</w:t>
            </w:r>
          </w:p>
        </w:tc>
        <w:tc>
          <w:tcPr/>
          <w:p>
            <w:pPr>
              <w:jc w:val="left"/>
            </w:pPr>
            <w:r>
              <w:t xml:space="preserve">Круглый стол в рамках проекта «Роль династии Куракиных в истории России».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4,3,3б,114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Гала-концерт в рамках II Всероссийского фестиваля-конкурса «Малая родина – великие песни».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2,3,6,114,115,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двор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17.00-20.15</w:t>
            </w:r>
          </w:p>
        </w:tc>
        <w:tc>
          <w:tcPr/>
          <w:p>
            <w:pPr>
              <w:jc w:val="left"/>
            </w:pPr>
            <w:r>
              <w:t xml:space="preserve">Творческая встреча с заслуженным артистом Российской Федерации Карэном Бадаловым в рамках проекта «Гостиная на Басманной».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Семинар «Участие представителей национальных общественных организаций в реализации этнокультурного компонента российской системы образования» в рамках проекта «Этнокультурный компонент в современном российском образовании и социуме».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http://basman.mos.ru/presscenter/important-information/detail/12977421.html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2977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2977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2025-08-05T14:42:34Z</dcterms:created>
  <dcterms:modified xsi:type="dcterms:W3CDTF">2025-08-05T14:42:34Z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