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e702d5d30ea80769083cc00bfdff84c98bac14"/>
    <w:p>
      <w:pPr>
        <w:pStyle w:val="Heading3"/>
      </w:pPr>
      <w:r>
        <w:t xml:space="preserve">Приговором Басманного районного суда г. Москвы от 30.05.2025 подсудимый признан виновным в совершении преступления, предусмотренного п. «в» ч. 3 ст. 158 УК РФ</w:t>
      </w:r>
    </w:p>
    <w:p>
      <w:pPr>
        <w:pStyle w:val="FirstParagraph"/>
      </w:pPr>
      <w:r>
        <w:t xml:space="preserve">27.06.2025</w:t>
      </w:r>
    </w:p>
    <w:p>
      <w:pPr>
        <w:pStyle w:val="BodyText"/>
      </w:pPr>
      <w:r>
        <w:t xml:space="preserve">Ему назначено наказание в виде 2 лет лишения свободы. На основании ст. 53.1 УК РФ назначенное наказание заменено на 2 года принудительных работ с удержанием 10% из заработной платы осужденного в доход государства.</w:t>
      </w:r>
    </w:p>
    <w:p>
      <w:pPr>
        <w:pStyle w:val="BodyText"/>
      </w:pPr>
      <w:r>
        <w:t xml:space="preserve">Установлено, что подсудимый в период времени с 20 часов 16 минут 23 ноября 2024 года по 06 часов 19 минут 24 ноября 2024 года, предварительно получив ключ от потерпевшего для осуществления дальнейшей трудовой деятельности в помещении автомастерской путем свободного доступа, прошел в помещение вышеуказанной автомастерской, где похитил из указанного помещения автомастерской имущество на общую стоимость 323 600 рублей 00 копеек, сложив похищенное имущество в заранее подготовленные и находящиеся при нём пакеты и рюкзак, после чего с места преступления с похищенным скрылся, причинив материальный ущерб в крупном размере на общую сумму 323 600 рублей 00 копеек.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http://basman.mos.ru/presscenter/important-information/detail/13068274.html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important-information/detail/1306827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important-information/detail/1306827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2025-06-27T08:10:34Z</dcterms:created>
  <dcterms:modified xsi:type="dcterms:W3CDTF">2025-06-27T08:10:34Z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