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86d914d276177c29e878ec3508801aa6d6f0d"/>
    <w:p>
      <w:pPr>
        <w:pStyle w:val="Heading3"/>
      </w:pPr>
      <w:r>
        <w:t xml:space="preserve">Басманная межрайонная прокуратура добивается привлечения к ответственности юридического лица, в интересах которого передавалась взятка.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t xml:space="preserve">Басманная межрайонная прокуратура провела проверку соблюдения законодательства о противодействии коррупции в коммерческой организации.</w:t>
      </w:r>
    </w:p>
    <w:p>
      <w:pPr>
        <w:pStyle w:val="BodyText"/>
      </w:pPr>
      <w:r>
        <w:t xml:space="preserve">Установлено, что представитель компании в интересах юридического лица передал взятку государственному гражданскому служащему с целью приемки выполненных работ по разработке проектно-сметной документации.</w:t>
      </w:r>
    </w:p>
    <w:p>
      <w:pPr>
        <w:pStyle w:val="BodyText"/>
      </w:pPr>
      <w:r>
        <w:t xml:space="preserve">Федеральным законом «О противодействии коррупции» предусмотрено, что в случае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применены меры ответственности в соответствии с законодательством Российской Федерации.</w:t>
      </w:r>
    </w:p>
    <w:p>
      <w:pPr>
        <w:pStyle w:val="BodyText"/>
      </w:pPr>
      <w:r>
        <w:t xml:space="preserve">Басманный межрайонный прокурор возбудил в отношении юридического лица дело об административном правонарушении по ч. 1 ст. 19.28 (незаконное вознаграждение от имени юридического лица) Кодекса Российской Федерации об административных правонарушениях, которое направлено в мировой суд.</w:t>
      </w:r>
    </w:p>
    <w:p>
      <w:pPr>
        <w:pStyle w:val="BodyText"/>
      </w:pPr>
      <w:r>
        <w:t xml:space="preserve">Постановлением мирового судьи юридическое лицо привлечено к административной ответственности в виде штрафов на сумму 1 млн. рублей.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http://basman.mos.ru/presscenter/important-information/detail/13068301.html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068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068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2025-06-27T08:31:45Z</dcterms:created>
  <dcterms:modified xsi:type="dcterms:W3CDTF">2025-06-27T08:31:45Z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