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db52075874d8236f47428200ad37a40d852c3"/>
    <w:p>
      <w:pPr>
        <w:pStyle w:val="Heading3"/>
      </w:pPr>
      <w:r>
        <w:t xml:space="preserve">Заседание конкурсной Комиссии по проведению анализа и сопоставления заявок, принятия рекомендаций по определению победителя в Конкурсе на право реализации социальных программ</w:t>
      </w:r>
    </w:p>
    <w:p>
      <w:pPr>
        <w:pStyle w:val="FirstParagraph"/>
      </w:pPr>
      <w:r>
        <w:t xml:space="preserve">23.09.2016</w:t>
      </w:r>
    </w:p>
    <w:p>
      <w:pPr>
        <w:pStyle w:val="BodyText"/>
      </w:pPr>
      <w:r>
        <w:t xml:space="preserve">22 сентября 2016 было проведено Заседание конкурсной Комиссии для проведения анализа и сопоставления заявок, принятия рекомендаций по определению победителя в Конкурсе на право заключения на безвозмездной основе договоров на реализацию социальных программ (проектов) по организации в Басманном районе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http://basman.mos.ru/presscenter/important-information/detail/3807904.html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38079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38079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2023-08-23T09:55:42Z</dcterms:created>
  <dcterms:modified xsi:type="dcterms:W3CDTF">2023-08-23T09:55:42Z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