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цддж-открывает-двери"/>
    <w:p>
      <w:pPr>
        <w:pStyle w:val="Heading3"/>
      </w:pPr>
      <w:r>
        <w:t xml:space="preserve">ЦДДЖ открывает двери</w:t>
      </w:r>
    </w:p>
    <w:p>
      <w:pPr>
        <w:pStyle w:val="FirstParagraph"/>
      </w:pPr>
      <w:r>
        <w:t xml:space="preserve">22.05.2017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5334000" cy="30099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asman.mos.ru/www/soc-cult/ДОД%20май%202017rev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http://basman.mos.ru/presscenter/important-information/detail/6008092.html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important-information/detail/6008092.html" TargetMode="External" /><Relationship Type="http://schemas.openxmlformats.org/officeDocument/2006/relationships/hyperlink" Id="rId20" Target="http://&#1094;&#1076;&#1076;&#1078;.&#1088;&#1092;/news/vesennie-dni-otkrytyh-dverej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important-information/detail/6008092.html" TargetMode="External" /><Relationship Type="http://schemas.openxmlformats.org/officeDocument/2006/relationships/hyperlink" Id="rId20" Target="http://&#1094;&#1076;&#1076;&#1078;.&#1088;&#1092;/news/vesennie-dni-otkrytyh-dvere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2024-08-26T03:58:49Z</dcterms:created>
  <dcterms:modified xsi:type="dcterms:W3CDTF">2024-08-26T03:58:49Z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