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d67a447dcf06bbe2131c40632ceb8fdbb3410"/>
    <w:p>
      <w:pPr>
        <w:pStyle w:val="Heading3"/>
      </w:pPr>
      <w:r>
        <w:t xml:space="preserve">Диалог регистратор-собственник: что волнует москвичей?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t xml:space="preserve">1 марта 2018 года по всей России прошел единый «День консультаций» Росреестра, приуроченный к 10-летию образования ведомства и 20-летию формирования в стране системы государственной регистрации прав на недвижимое имущество и сделок с ним.</w:t>
      </w:r>
    </w:p>
    <w:p>
      <w:pPr>
        <w:pStyle w:val="BodyText"/>
      </w:pPr>
      <w:r>
        <w:t xml:space="preserve">В Москве для консультации жителей города на базе отделов столичного Управления Росреестра было открыто 19 площадок, на которых более 60 специалистов рассказывали всем обратившимся о работе и услугах ведомства, а также консультировали в сфере земельно-имущественных отношений.</w:t>
      </w:r>
    </w:p>
    <w:p>
      <w:pPr>
        <w:pStyle w:val="BodyText"/>
      </w:pPr>
      <w:r>
        <w:t xml:space="preserve">В общей сложности к сотрудникам Росреестра обратились более 400 жителей Москвы.</w:t>
      </w:r>
    </w:p>
    <w:p>
      <w:pPr>
        <w:pStyle w:val="BodyText"/>
      </w:pPr>
      <w:r>
        <w:t xml:space="preserve">Чаще всего москвичей волновали вопросы по оформлению прав на имущество и определению кадастровой стоимости жилья. Так, во время консультации была дана подробная информация о том, что оспорить кадастровую стоимость недвижимости можно в комиссии по рассмотрению подобных споров непосредственно в Управлении Росреестра и в суде. При этом изначальное определение кадастровой стоимости осуществляет не Росреестр, а независимые оценщики.</w:t>
      </w:r>
    </w:p>
    <w:p>
      <w:pPr>
        <w:pStyle w:val="BodyText"/>
      </w:pPr>
      <w:r>
        <w:t xml:space="preserve">Большой интерес был вызван получением услуг ведомства в электронном виде, а также использованием «Личного кабинета» правообладателя. Как разъясняли консультанты, принципиального отличия между подачей заявления на регистрацию прав и/или постановку на кадастровый учет в электронном или «бумажном» виде – нет. В первом случае документы заверяются подписью уполномоченного должностного лица и оттиском печати, во втором – электронной цифровой подписью. При этом использование электронных сервисов ускоряет общение заявителей с регистратором, открывая доступ ко всем востребованным услугам дистанционно онлайн.</w:t>
      </w:r>
    </w:p>
    <w:p>
      <w:pPr>
        <w:pStyle w:val="BodyText"/>
      </w:pPr>
      <w:r>
        <w:t xml:space="preserve">Много вопросов жители Москвы задали про пролонгированную до 2020 года «дачную амнистию» – упрощенный порядок регистрации прав на созданные или создаваемые объекты индивидуального жилищного строительства, а также на тему обязательного межевания дачных участков. Сотрудникам Росреестра пришлось в очередной раз развеивать заблуждения, что неразмежеванные участки якобы нельзя будет оформить в наследство или их чуть ли не изымут. Однако рекомендация определить границы дачных участков, у кого это до сих пор не сделано, – остается в силе, поскольку эта процедура позволит избежать потенциальных споров с соседями.</w:t>
      </w:r>
    </w:p>
    <w:p>
      <w:pPr>
        <w:pStyle w:val="BodyText"/>
      </w:pPr>
      <w:r>
        <w:t xml:space="preserve">Некоторые вопросы носили выраженную территориальную принадлежность. В частности, жителей Восточного административного округа Москвы чаще других интересовались регистрацией недвижимости по программе реновации, поскольку в восточных районах столицы первый дом в рамках обновления жилищного фонда столицы уже заселяется.</w:t>
      </w:r>
    </w:p>
    <w:p>
      <w:pPr>
        <w:pStyle w:val="BodyText"/>
      </w:pPr>
      <w:r>
        <w:t xml:space="preserve">В целом в ходе акции также даны консультации о порядке регистрации и постановке на кадастровый учет общего имущества многоквартирных домов, регистрации аренды части помещений, объеме сведений, отражаемых в выписках из ЕГРН, формировании земельных участков и др.</w:t>
      </w:r>
    </w:p>
    <w:p>
      <w:pPr>
        <w:pStyle w:val="BodyText"/>
      </w:pPr>
      <w:r>
        <w:t xml:space="preserve">Управление Росреестра по Москве напоминает, что консультации жителям столицы по вопросам регистрации недвижимости доступны на регулярной основе в территориальных отделах. Также в этом году столичный Росреестр ввел формат консультаций для граждан в рамках встреч окружных префектов с населением.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http://basman.mos.ru/presscenter/important-information/detail/7181052.html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181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181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2023-08-23T10:10:15Z</dcterms:created>
  <dcterms:modified xsi:type="dcterms:W3CDTF">2023-08-23T10:10:15Z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