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6d6ff02ce1650ece322bd78b0543884e86d49"/>
    <w:p>
      <w:pPr>
        <w:pStyle w:val="Heading3"/>
      </w:pPr>
      <w:r>
        <w:t xml:space="preserve">Более 22 тысяч объектов недвижимости защитили москвичи в Росреестре</w:t>
      </w:r>
    </w:p>
    <w:p>
      <w:pPr>
        <w:pStyle w:val="FirstParagraph"/>
      </w:pPr>
      <w:r>
        <w:t xml:space="preserve">18.05.2018</w:t>
      </w:r>
    </w:p>
    <w:p>
      <w:pPr>
        <w:pStyle w:val="BodyText"/>
      </w:pPr>
      <w:r>
        <w:t xml:space="preserve">За 4 месяца 2018 года – с января по апрель включительно – в Управление Росреестра по Москве поступило 22 442 заявления о невозможности государственной регистрации прав без личного участия правообладателя или его законного представителя.</w:t>
      </w:r>
    </w:p>
    <w:p>
      <w:pPr>
        <w:pStyle w:val="BodyText"/>
      </w:pPr>
      <w:r>
        <w:t xml:space="preserve">Соответствующее заявление о невозможности регистрации перехода, прекращения, ограничения права и обременения объекта недвижимости может подать каждый владелец недвижимости. При этом в Единый государственный реестр недвижимости (ЕГРН) вносится запись, которая служит основанием для возврата без рассмотрения заявлений, представленных иными лицами. Эта превентивная мера направлена на снижение числа мошеннических операций с недвижимостью, заключаемых посредниками, которые действуют по доверенности.</w:t>
      </w:r>
    </w:p>
    <w:p>
      <w:pPr>
        <w:pStyle w:val="BodyText"/>
      </w:pPr>
      <w:r>
        <w:t xml:space="preserve">Чтобы запретить сделки с имуществом без личного участия его собственника можно обратиться в любой из офисов МФЦ или направить заявление через личный кабинет на сайте Росреестра. Срок внесения записи – не более 5 рабочих дней.</w:t>
      </w:r>
    </w:p>
    <w:p>
      <w:pPr>
        <w:pStyle w:val="BodyText"/>
      </w:pPr>
      <w:r>
        <w:t xml:space="preserve">Аннулировать запись в ЕГРН о невозможности государственной регистрации без личного участия правообладателя можно отозвав ранее поданное заявление или на основании вступившего в силу судебного акта.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http://basman.mos.ru/presscenter/important-information/detail/7338598.html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338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338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2023-08-23T10:10:00Z</dcterms:created>
  <dcterms:modified xsi:type="dcterms:W3CDTF">2023-08-23T10:10:00Z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