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енний-призыв"/>
    <w:p>
      <w:pPr>
        <w:pStyle w:val="Heading3"/>
      </w:pPr>
      <w:r>
        <w:t xml:space="preserve">Осенний призыв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rPr>
          <w:bCs/>
          <w:b/>
        </w:rPr>
        <w:t xml:space="preserve">Осенний призыв на военную службу стартовал в России: Вооруженные силы должны пополнить около 132 тысяч человек, что на полтысячи меньше, чем в прошлом году.</w:t>
      </w:r>
    </w:p>
    <w:p>
      <w:pPr>
        <w:pStyle w:val="BodyText"/>
      </w:pPr>
      <w:r>
        <w:t xml:space="preserve">Президент Российской Федерации, Верховный Главнокомандующий Вооружёнными Силами Российской Федерации Владимир Путин подписал указ о призыве на военную службу. «Осуществить с 1 октября</w:t>
      </w:r>
      <w:r>
        <w:t xml:space="preserve"> </w:t>
      </w:r>
      <w:r>
        <w:t xml:space="preserve"> </w:t>
      </w:r>
      <w:r>
        <w:t xml:space="preserve">по 31 декабря 2019 г. призыв на военную службу граждан Российской Федерации в возрасте от 18 до 27 лет, не пребывающих в запасе и подлежащих в соответствии с Федеральным законом от 28 марта 1998 г. № 53-Ф3 «О воинской обязанности и военной службе» призыву на военную службу, в количестве 132 тыс. человек», — говорится в указе.</w:t>
      </w:r>
    </w:p>
    <w:p>
      <w:pPr>
        <w:pStyle w:val="BodyText"/>
      </w:pPr>
      <w:r>
        <w:t xml:space="preserve">Главой муниципального округа Басманный, председателем призывной комиссии Басманного района Г.В. Аничкиным, до начала осеннего призыва, были согласованы нормативно-правовые документы: состав призывной и медицинской комиссий, комиссии по постановке граждан на воинский учёт, план подготовки и проведения призыва на военную службу в октябре-декабре 2019 года граждан 1992-2001 годов рождения, состоящих на воинском учёте в Басманном районе, для членов призывной комиссии проведены организационно-методические сборы.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http://basman.mos.ru/presscenter/important-information/detail/8446096.html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446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446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2025-08-05T14:42:30Z</dcterms:created>
  <dcterms:modified xsi:type="dcterms:W3CDTF">2025-08-05T14:42:30Z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