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9ebaa5b7004d2dd8f256b0122b158602cf7b3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FirstParagraph"/>
      </w:pPr>
      <w:r>
        <w:t xml:space="preserve">26.06.2020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Старая Басманная ул., д.22, корп. Б, стр.2</w:t>
      </w:r>
      <w:r>
        <w:t xml:space="preserve">, в соответствии проектом межевания территории квартала, утвержденным распоряжением Департамента от 14.12.2007 №889 (буклет №01.02.015.2007, на плане межевания участок № 11)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01.08.2020. Срок проведения работ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 При этом общий срок проведения работ по образованию земельного участка под многоквартирным жилым домом не может превышать 6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http://basman.mos.ru/presscenter/important-information/detail/8993723.html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993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993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2025-08-01T16:58:01Z</dcterms:created>
  <dcterms:modified xsi:type="dcterms:W3CDTF">2025-08-01T16:58:01Z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