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7e26c3db3e66e04ec314cb07ea67bcd0d249e"/>
    <w:p>
      <w:pPr>
        <w:pStyle w:val="Heading3"/>
      </w:pPr>
      <w:r>
        <w:t xml:space="preserve">Всероссийский диктант по энергосбережению в сфере жилищно-коммунального хозяйства «E-ДИКТАНТ»</w:t>
      </w:r>
    </w:p>
    <w:p>
      <w:pPr>
        <w:pStyle w:val="FirstParagraph"/>
      </w:pPr>
      <w:r>
        <w:t xml:space="preserve">27.11.2020</w:t>
      </w:r>
    </w:p>
    <w:p>
      <w:pPr>
        <w:pStyle w:val="BodyText"/>
      </w:pPr>
      <w:r>
        <w:drawing>
          <wp:inline>
            <wp:extent cx="5334000" cy="18393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zhkkhib/zkh-photo/Е-ди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393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41" w:name="X531d4f162661e9e9f39e0e2f78c862bf5f94a35"/>
    <w:p>
      <w:pPr>
        <w:pStyle w:val="Heading1"/>
      </w:pPr>
      <w:r>
        <w:rPr>
          <w:iCs/>
          <w:i/>
        </w:rPr>
        <w:t xml:space="preserve">Всероссийский диктант по энергосбережению в сфере жилищно-коммунального хозяйства «E-ДИКТАНТ» - мультимедийный онлайн-тест по вопросам энергосбережения и повышения энергетической эффективности в сфере ЖКХ, который не только проверит знания, но и научит грамотно потреблять энергетические ресурсы и экономить семейный бюджет.</w:t>
      </w:r>
    </w:p>
    <w:p>
      <w:pPr>
        <w:pStyle w:val="FirstParagraph"/>
      </w:pPr>
      <w:r>
        <w:t xml:space="preserve">Цель Диктанта – содействие популяризации знаний по энергосбережению в сфере жилищно-коммунального хозяйства, повышение интереса к данной теме среди населения.</w:t>
      </w:r>
    </w:p>
    <w:bookmarkStart w:id="24" w:name="задачи-диктанта"/>
    <w:p>
      <w:pPr>
        <w:pStyle w:val="Heading3"/>
      </w:pPr>
      <w:r>
        <w:t xml:space="preserve">Задачи Диктанта:</w:t>
      </w:r>
    </w:p>
    <w:p>
      <w:pPr>
        <w:numPr>
          <w:ilvl w:val="0"/>
          <w:numId w:val="1001"/>
        </w:numPr>
      </w:pPr>
      <w:r>
        <w:t xml:space="preserve">Привлечение внимания общества и средств массовой информации к проблемам энергосбережения в сфере жилищно-коммунального хозяйства.</w:t>
      </w:r>
    </w:p>
    <w:p>
      <w:pPr>
        <w:numPr>
          <w:ilvl w:val="0"/>
          <w:numId w:val="1001"/>
        </w:numPr>
      </w:pPr>
      <w:r>
        <w:t xml:space="preserve">Предоставление возможности всем желающим проверить свои знания по энергосбережению в сфере жилищно-коммунального хозяйства.</w:t>
      </w:r>
    </w:p>
    <w:p>
      <w:pPr>
        <w:numPr>
          <w:ilvl w:val="0"/>
          <w:numId w:val="1001"/>
        </w:numPr>
      </w:pPr>
      <w:r>
        <w:t xml:space="preserve">Повышение уровня грамотности потребителей жилищно-коммунальных услуг, стимулирование использования энергосберегающих технологий.</w:t>
      </w:r>
    </w:p>
    <w:bookmarkEnd w:id="24"/>
    <w:bookmarkStart w:id="25" w:name="актуальность"/>
    <w:p>
      <w:pPr>
        <w:pStyle w:val="Heading3"/>
      </w:pPr>
      <w:r>
        <w:t xml:space="preserve">Актуальность</w:t>
      </w:r>
    </w:p>
    <w:p>
      <w:pPr>
        <w:pStyle w:val="FirstParagraph"/>
      </w:pPr>
      <w:r>
        <w:t xml:space="preserve">В настоящее время в России, как и в большинстве других стран, особое внимание уделяется энергосбережению и повышению энергетической эффективности в сфере ЖКХ. Большое значение при этом имеет не только внедрение энергосберегающих технологий в строительстве и совершенствование управления жилым фондом, но и ответственное отношение потребителей к данной теме. Однако степень участия собственников жилья в этих вопросах пока недостаточно высока. Диктант призван повысить культуру потребления жилищно-коммунальных услуг.</w:t>
      </w:r>
    </w:p>
    <w:bookmarkEnd w:id="25"/>
    <w:bookmarkStart w:id="28" w:name="условия-участия"/>
    <w:p>
      <w:pPr>
        <w:pStyle w:val="Heading3"/>
      </w:pPr>
      <w:r>
        <w:t xml:space="preserve">Условия участия</w:t>
      </w:r>
    </w:p>
    <w:p>
      <w:pPr>
        <w:numPr>
          <w:ilvl w:val="0"/>
          <w:numId w:val="1002"/>
        </w:numPr>
      </w:pPr>
      <w:r>
        <w:t xml:space="preserve">возраст 12 лет и старше;</w:t>
      </w:r>
    </w:p>
    <w:p>
      <w:pPr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регистрация</w:t>
        </w:r>
      </w:hyperlink>
      <w:r>
        <w:t xml:space="preserve"> </w:t>
      </w:r>
      <w:r>
        <w:t xml:space="preserve">на сайте</w:t>
      </w:r>
      <w:r>
        <w:t xml:space="preserve"> </w:t>
      </w:r>
      <w:hyperlink r:id="rId27">
        <w:r>
          <w:rPr>
            <w:rStyle w:val="Hyperlink"/>
          </w:rPr>
          <w:t xml:space="preserve">energydict.ru</w:t>
        </w:r>
      </w:hyperlink>
      <w:r>
        <w:t xml:space="preserve">;</w:t>
      </w:r>
    </w:p>
    <w:p>
      <w:pPr>
        <w:numPr>
          <w:ilvl w:val="0"/>
          <w:numId w:val="1002"/>
        </w:numPr>
      </w:pPr>
      <w:r>
        <w:t xml:space="preserve">доступ в Интернет.</w:t>
      </w:r>
    </w:p>
    <w:bookmarkEnd w:id="28"/>
    <w:bookmarkStart w:id="29" w:name="сроки-проведения"/>
    <w:p>
      <w:pPr>
        <w:pStyle w:val="Heading3"/>
      </w:pPr>
      <w:r>
        <w:t xml:space="preserve">Сроки проведения</w:t>
      </w:r>
    </w:p>
    <w:p>
      <w:pPr>
        <w:pStyle w:val="FirstParagraph"/>
      </w:pPr>
      <w:r>
        <w:t xml:space="preserve">«Е-ДИКТАНТ» проводится на сайте energydict.ru в 2 этапа:</w:t>
      </w:r>
    </w:p>
    <w:p>
      <w:pPr>
        <w:numPr>
          <w:ilvl w:val="0"/>
          <w:numId w:val="1003"/>
        </w:numPr>
      </w:pPr>
      <w:r>
        <w:t xml:space="preserve">первый этап (отборочный тур) – в период с 30 ноября 2020 года по 13 декабря 2020 года в любое время в личном кабинете;</w:t>
      </w:r>
    </w:p>
    <w:p>
      <w:pPr>
        <w:numPr>
          <w:ilvl w:val="0"/>
          <w:numId w:val="1003"/>
        </w:numPr>
      </w:pPr>
      <w:r>
        <w:t xml:space="preserve">второй этап (финальный тур) – 19 декабря 2020 года в прямом эфире.</w:t>
      </w:r>
    </w:p>
    <w:bookmarkEnd w:id="29"/>
    <w:bookmarkStart w:id="30" w:name="задания-диктанта"/>
    <w:p>
      <w:pPr>
        <w:pStyle w:val="Heading3"/>
      </w:pPr>
      <w:r>
        <w:t xml:space="preserve">Задания Диктанта</w:t>
      </w:r>
    </w:p>
    <w:p>
      <w:pPr>
        <w:pStyle w:val="FirstParagraph"/>
      </w:pPr>
      <w:r>
        <w:t xml:space="preserve">Задания Диктанта разрабатываются профильными экспертами и включают в себя вопросы (50 вопросов в каждом этапе) с 4 вариантами ответов на темы, связанные с экономией тепловой и электроэнергии, водосбережением, рациональным использованием природных ресурсов, применением энергоэффективных технологий. Задания предполагают установление верного порядка, соответствия, выбора лишнего варианта из группы.</w:t>
      </w:r>
    </w:p>
    <w:bookmarkEnd w:id="30"/>
    <w:bookmarkStart w:id="31" w:name="система-оценивания"/>
    <w:p>
      <w:pPr>
        <w:pStyle w:val="Heading3"/>
      </w:pPr>
      <w:r>
        <w:t xml:space="preserve">Система оценивания</w:t>
      </w:r>
    </w:p>
    <w:p>
      <w:pPr>
        <w:pStyle w:val="FirstParagraph"/>
      </w:pPr>
      <w:r>
        <w:t xml:space="preserve">В первом этапе:</w:t>
      </w:r>
    </w:p>
    <w:p>
      <w:pPr>
        <w:pStyle w:val="BodyText"/>
      </w:pPr>
      <w:r>
        <w:t xml:space="preserve">За каждый правильный ответ на вопрос участник получает 2 балла. Максимальное количество баллов за первый этап Диктанта – 100.</w:t>
      </w:r>
    </w:p>
    <w:p>
      <w:pPr>
        <w:pStyle w:val="BodyText"/>
      </w:pPr>
      <w:r>
        <w:t xml:space="preserve">Во втором этапе:</w:t>
      </w:r>
    </w:p>
    <w:p>
      <w:pPr>
        <w:numPr>
          <w:ilvl w:val="0"/>
          <w:numId w:val="1004"/>
        </w:numPr>
      </w:pPr>
      <w:r>
        <w:t xml:space="preserve">с 1 по 30 вопрос – по 1 баллу за каждый правильный ответ;</w:t>
      </w:r>
    </w:p>
    <w:p>
      <w:pPr>
        <w:numPr>
          <w:ilvl w:val="0"/>
          <w:numId w:val="1004"/>
        </w:numPr>
      </w:pPr>
      <w:r>
        <w:t xml:space="preserve">с 31 по 40 вопрос – по 3 балла за каждый правильный ответ;</w:t>
      </w:r>
    </w:p>
    <w:p>
      <w:pPr>
        <w:numPr>
          <w:ilvl w:val="0"/>
          <w:numId w:val="1004"/>
        </w:numPr>
      </w:pPr>
      <w:r>
        <w:t xml:space="preserve">с 41 по 50 вопрос – по 4 балла за каждый правильный ответ.</w:t>
      </w:r>
    </w:p>
    <w:p>
      <w:pPr>
        <w:pStyle w:val="FirstParagraph"/>
      </w:pPr>
      <w:r>
        <w:t xml:space="preserve">Максимальное количество баллов за второй этап Диктанта – 100.</w:t>
      </w:r>
    </w:p>
    <w:bookmarkEnd w:id="31"/>
    <w:bookmarkStart w:id="32" w:name="подведение-итогов"/>
    <w:p>
      <w:pPr>
        <w:pStyle w:val="Heading3"/>
      </w:pPr>
      <w:r>
        <w:t xml:space="preserve">Подведение итогов</w:t>
      </w:r>
    </w:p>
    <w:p>
      <w:pPr>
        <w:pStyle w:val="FirstParagraph"/>
      </w:pPr>
      <w:r>
        <w:t xml:space="preserve">Участники Диктанта, получившие по итогам первого этапа не менее 50 баллов, допускаются до участия во втором этапе Диктанта. Победителями Диктанта становятся 48 участников второго этапа – по 6 победителей в каждом федеральном округе, получившие по итогам второго этапа наибольшее количество баллов.</w:t>
      </w:r>
    </w:p>
    <w:p>
      <w:pPr>
        <w:pStyle w:val="BodyText"/>
      </w:pPr>
      <w:r>
        <w:t xml:space="preserve">Победители награждаются дипломами и ценными призами от организаторов и партнеров Диктанта.</w:t>
      </w:r>
    </w:p>
    <w:bookmarkEnd w:id="32"/>
    <w:bookmarkStart w:id="34" w:name="подробнее-о-диктанте-в-положении"/>
    <w:p>
      <w:pPr>
        <w:pStyle w:val="Heading3"/>
      </w:pPr>
      <w:r>
        <w:t xml:space="preserve">Подробнее о Диктанте</w:t>
      </w:r>
      <w:r>
        <w:t xml:space="preserve"> </w:t>
      </w:r>
      <w:hyperlink r:id="rId33">
        <w:r>
          <w:rPr>
            <w:rStyle w:val="Hyperlink"/>
            <w:u w:val="single"/>
          </w:rPr>
          <w:t xml:space="preserve">в Положении</w:t>
        </w:r>
      </w:hyperlink>
    </w:p>
    <w:bookmarkEnd w:id="34"/>
    <w:bookmarkStart w:id="35" w:name="Xf2f6223a3ff3b844918900b5250977225994ba7"/>
    <w:p>
      <w:pPr>
        <w:pStyle w:val="Heading3"/>
      </w:pPr>
      <w:r>
        <w:t xml:space="preserve">Не забудь принять участие в дополнительных мероприятиях</w:t>
      </w:r>
    </w:p>
    <w:p>
      <w:pPr>
        <w:numPr>
          <w:ilvl w:val="0"/>
          <w:numId w:val="1005"/>
        </w:numPr>
      </w:pPr>
      <w:r>
        <w:t xml:space="preserve">Конкурс в социальных сетях на лучшую публикацию в социальных сетях на тему энергосбережения в сфере ЖКХ.</w:t>
      </w:r>
    </w:p>
    <w:p>
      <w:pPr>
        <w:numPr>
          <w:ilvl w:val="0"/>
          <w:numId w:val="1005"/>
        </w:numPr>
      </w:pPr>
      <w:r>
        <w:t xml:space="preserve">Сроки: с 10:00 по московскому времени 30 ноября 2020 года до 23:59 по московскому времени 18 декабря 2020 года</w:t>
      </w:r>
    </w:p>
    <w:bookmarkEnd w:id="35"/>
    <w:bookmarkStart w:id="36" w:name="что-нужно-делать"/>
    <w:p>
      <w:pPr>
        <w:pStyle w:val="Heading3"/>
      </w:pPr>
      <w:r>
        <w:t xml:space="preserve">Что нужно делать?</w:t>
      </w:r>
    </w:p>
    <w:p>
      <w:pPr>
        <w:numPr>
          <w:ilvl w:val="0"/>
          <w:numId w:val="1006"/>
        </w:numPr>
      </w:pPr>
      <w:r>
        <w:t xml:space="preserve">На своей страничке в социальной сети ВКонтакте, Instagram или Facebook сделать публикацию любого формата на тему энергосбережения в сфере ЖКХ.</w:t>
      </w:r>
    </w:p>
    <w:p>
      <w:pPr>
        <w:numPr>
          <w:ilvl w:val="0"/>
          <w:numId w:val="1006"/>
        </w:numPr>
      </w:pPr>
      <w:r>
        <w:t xml:space="preserve">В публикации указать хештеги: #едиктант #жкх #энергосбережение #фондЖКХ #стратегиябудущего #я_россия.</w:t>
      </w:r>
    </w:p>
    <w:p>
      <w:pPr>
        <w:numPr>
          <w:ilvl w:val="0"/>
          <w:numId w:val="1006"/>
        </w:numPr>
      </w:pPr>
      <w:r>
        <w:t xml:space="preserve">В публикации отметить официальный аккаунт Диктанта в соответствующей социальной сети.</w:t>
      </w:r>
    </w:p>
    <w:p>
      <w:pPr>
        <w:numPr>
          <w:ilvl w:val="0"/>
          <w:numId w:val="1006"/>
        </w:numPr>
      </w:pPr>
      <w:r>
        <w:t xml:space="preserve">Подписаться на официальный аккаунт Диктанта и Оператора Диктанта в соответствующей социальной сети.</w:t>
      </w:r>
    </w:p>
    <w:p>
      <w:pPr>
        <w:pStyle w:val="FirstParagraph"/>
      </w:pPr>
      <w:r>
        <w:t xml:space="preserve">Итоги: организационный комитет Диктанта определяет 10 победителей конкурса в социальных сетях.</w:t>
      </w:r>
    </w:p>
    <w:bookmarkEnd w:id="36"/>
    <w:bookmarkStart w:id="37" w:name="section"/>
    <w:p>
      <w:pPr>
        <w:pStyle w:val="Heading2"/>
      </w:pPr>
      <w:r>
        <w:br/>
      </w:r>
    </w:p>
    <w:bookmarkEnd w:id="37"/>
    <w:bookmarkStart w:id="40" w:name="организаторы"/>
    <w:p>
      <w:pPr>
        <w:pStyle w:val="Heading2"/>
      </w:pPr>
      <w:r>
        <w:t xml:space="preserve">Организаторы</w:t>
      </w:r>
    </w:p>
    <w:p>
      <w:pPr>
        <w:pStyle w:val="FirstParagraph"/>
      </w:pPr>
      <w:r>
        <w:t xml:space="preserve">Организатор Диктанта – государственная корпорация –</w:t>
      </w:r>
      <w:r>
        <w:t xml:space="preserve"> </w:t>
      </w:r>
      <w:hyperlink r:id="rId38">
        <w:r>
          <w:rPr>
            <w:rStyle w:val="Hyperlink"/>
          </w:rPr>
          <w:t xml:space="preserve">Фонд содействия реформированию жилищно-коммунального хозяйства</w:t>
        </w:r>
      </w:hyperlink>
    </w:p>
    <w:p>
      <w:pPr>
        <w:pStyle w:val="BodyText"/>
      </w:pPr>
      <w:r>
        <w:t xml:space="preserve">Оператор Диктанта –</w:t>
      </w:r>
      <w:r>
        <w:t xml:space="preserve"> </w:t>
      </w:r>
      <w:hyperlink r:id="rId39">
        <w:r>
          <w:rPr>
            <w:rStyle w:val="Hyperlink"/>
          </w:rPr>
          <w:t xml:space="preserve">Фонд поддержки образовательных проектов</w:t>
        </w:r>
      </w:hyperlink>
      <w:r>
        <w:t xml:space="preserve"> </w:t>
      </w:r>
      <w:r>
        <w:t xml:space="preserve">- осуществляет организационно-техническое и информационное сопровождение мероприятий Диктата.</w:t>
      </w:r>
    </w:p>
    <w:p>
      <w:pPr>
        <w:pStyle w:val="BodyText"/>
      </w:pPr>
      <w:r>
        <w:br/>
      </w:r>
    </w:p>
    <w:bookmarkEnd w:id="40"/>
    <w:bookmarkEnd w:id="4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2">
        <w:r>
          <w:rPr>
            <w:rStyle w:val="Hyperlink"/>
          </w:rPr>
          <w:t xml:space="preserve">http://basman.mos.ru/presscenter/important-information/detail/9474463.html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Управа Басманного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43" Target="http://basman.mos.ru" TargetMode="External" /><Relationship Type="http://schemas.openxmlformats.org/officeDocument/2006/relationships/hyperlink" Id="rId42" Target="http://basman.mos.ru/presscenter/important-information/detail/9474463.html" TargetMode="External" /><Relationship Type="http://schemas.openxmlformats.org/officeDocument/2006/relationships/hyperlink" Id="rId27" Target="http://energydict.ru/" TargetMode="External" /><Relationship Type="http://schemas.openxmlformats.org/officeDocument/2006/relationships/hyperlink" Id="rId26" Target="http://energydict.ru/login/" TargetMode="External" /><Relationship Type="http://schemas.openxmlformats.org/officeDocument/2006/relationships/hyperlink" Id="rId33" Target="https://energydict.ru/upload/dict.pdf" TargetMode="External" /><Relationship Type="http://schemas.openxmlformats.org/officeDocument/2006/relationships/hyperlink" Id="rId38" Target="https://fondgkh.ru/" TargetMode="External" /><Relationship Type="http://schemas.openxmlformats.org/officeDocument/2006/relationships/hyperlink" Id="rId39" Target="https://fondsb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3" Target="http://basman.mos.ru" TargetMode="External" /><Relationship Type="http://schemas.openxmlformats.org/officeDocument/2006/relationships/hyperlink" Id="rId42" Target="http://basman.mos.ru/presscenter/important-information/detail/9474463.html" TargetMode="External" /><Relationship Type="http://schemas.openxmlformats.org/officeDocument/2006/relationships/hyperlink" Id="rId27" Target="http://energydict.ru/" TargetMode="External" /><Relationship Type="http://schemas.openxmlformats.org/officeDocument/2006/relationships/hyperlink" Id="rId26" Target="http://energydict.ru/login/" TargetMode="External" /><Relationship Type="http://schemas.openxmlformats.org/officeDocument/2006/relationships/hyperlink" Id="rId33" Target="https://energydict.ru/upload/dict.pdf" TargetMode="External" /><Relationship Type="http://schemas.openxmlformats.org/officeDocument/2006/relationships/hyperlink" Id="rId38" Target="https://fondgkh.ru/" TargetMode="External" /><Relationship Type="http://schemas.openxmlformats.org/officeDocument/2006/relationships/hyperlink" Id="rId39" Target="https://fondsb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2023-08-23T09:47:50Z</dcterms:created>
  <dcterms:modified xsi:type="dcterms:W3CDTF">2023-08-23T09:47:50Z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