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da997c0c32d0db88431bd41593329d11f6933"/>
    <w:p>
      <w:pPr>
        <w:pStyle w:val="Heading3"/>
      </w:pPr>
      <w:r>
        <w:t xml:space="preserve">Оповещение о проведении публичных слушаний по проекту градостроительного межевания территории квартала № 290 Басманного района, ограниченного Мясницким проездом, пл. Красные Ворота, Боярским пер., Большим Козловским пер.</w:t>
      </w:r>
    </w:p>
    <w:p>
      <w:pPr>
        <w:pStyle w:val="FirstParagraph"/>
      </w:pPr>
      <w:r>
        <w:t xml:space="preserve">28.04.2014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290 Басманного района, ограниченного Мясницким проездом, пл. Красные Ворота, Боярским пер., Большим Козловским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29 мая 2014 года по 5 июня 2014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30 июня 2014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http://basman.mos.ru/presscenter/news/detail/1018326.html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18326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18326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2023-08-23T09:05:41Z</dcterms:created>
  <dcterms:modified xsi:type="dcterms:W3CDTF">2023-08-23T09:05:41Z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