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ecca0eef0338fa72e53f224dee714b1f485dc"/>
    <w:p>
      <w:pPr>
        <w:pStyle w:val="Heading3"/>
      </w:pPr>
      <w:r>
        <w:t xml:space="preserve">Столичные предприниматели смогут бесплатно запустить продажи на международных площадках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t xml:space="preserve">Столичные предприниматели смогут бесплатно запустить на международных площадках.</w:t>
      </w:r>
    </w:p>
    <w:p>
      <w:pPr>
        <w:pStyle w:val="BodyText"/>
      </w:pPr>
      <w:r>
        <w:t xml:space="preserve">Это будет возможно сделать благодаря расширении программы поддержки онлайн-торговли Московского экспертного центра. Все расходы по финансированию размещения и продвижению продуктов берет на себя учреждение.</w:t>
      </w:r>
    </w:p>
    <w:p>
      <w:pPr>
        <w:pStyle w:val="BodyText"/>
      </w:pPr>
      <w:r>
        <w:t xml:space="preserve">Руководитель Департамента предпринимательства и инновационного развития города Москвы Алексей Фурсин рассказал о том, что заключение экспортного контракта гарантировано предпринимателям Москвы условиями участия в программе. Общее число таких маркетплейсов в программе МЭЦ с учетом вновь добавленных достигло 11.</w:t>
      </w:r>
    </w:p>
    <w:p>
      <w:pPr>
        <w:pStyle w:val="BodyText"/>
      </w:pPr>
      <w:r>
        <w:t xml:space="preserve">Стоит отметить, что одной из ключевых задач Московского экспортного центра является увеличение числа столичных экспортеров и реализация проектов по эффективному развитию их внешнеэкономической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http://basman.mos.ru/presscenter/news/detail/10350975.html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50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50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2025-02-21T21:29:19Z</dcterms:created>
  <dcterms:modified xsi:type="dcterms:W3CDTF">2025-02-21T21:29:19Z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