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d4a7cf7acb131e4ea45b0ec31be2237a3c4d"/>
    <w:p>
      <w:pPr>
        <w:pStyle w:val="Heading3"/>
      </w:pPr>
      <w:r>
        <w:t xml:space="preserve">Московские экспортеры детских товаров расширяют географию поставок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В этом году показатель экспорта детских товаров Москвы повысился в полтора раза, столичными игрушками закупились 60 стран.</w:t>
      </w:r>
    </w:p>
    <w:p>
      <w:pPr>
        <w:pStyle w:val="BodyText"/>
      </w:pPr>
      <w:r>
        <w:t xml:space="preserve">Москва занимает лидирующую позицию в экспорте детских товаров, ее доля в общероссийских поставок товаров составила почти 37 процентов.</w:t>
      </w:r>
    </w:p>
    <w:p>
      <w:pPr>
        <w:pStyle w:val="BodyText"/>
      </w:pPr>
      <w:r>
        <w:t xml:space="preserve">Успех в увеличении объема экспорта заключается в значительном расширении географии отправлений. За первое полугодие 2020 года игрушки из Москвы отправили в 41 страну мира, а в этом году уже в 60. Главными потребителями столичных игрушек стали Казахстан, Беларусь и Бельгия.</w:t>
      </w:r>
    </w:p>
    <w:p>
      <w:pPr>
        <w:pStyle w:val="BodyText"/>
      </w:pPr>
      <w:r>
        <w:t xml:space="preserve">Большой популярность у зарубежных закупщиков пользуются наборы и комплекты для конструирования, их оборот составил почти 25 миллионов долларов.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http://basman.mos.ru/presscenter/news/detail/10386709.html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8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8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2025-08-02T03:22:09Z</dcterms:created>
  <dcterms:modified xsi:type="dcterms:W3CDTF">2025-08-02T03:22:09Z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