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2ddbc4141df4c2fda4e853d65280803ef2130"/>
    <w:p>
      <w:pPr>
        <w:pStyle w:val="Heading3"/>
      </w:pPr>
      <w:r>
        <w:t xml:space="preserve">Высокотехнологичные предприятия могут рассчитывать на финансовую поддержку города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Москва поддерживает компании-участников Московского инновационного кластера, резидентов технопарков и особой экономической зоны города субсидиями до десяти миллионов рублей.</w:t>
      </w:r>
    </w:p>
    <w:p>
      <w:pPr>
        <w:pStyle w:val="BodyText"/>
      </w:pPr>
      <w:r>
        <w:t xml:space="preserve">Выплата предназначена для представителей малого и среднего бизнеса, она покрывает затраты на развитие деятельности.</w:t>
      </w:r>
    </w:p>
    <w:p>
      <w:pPr>
        <w:pStyle w:val="BodyText"/>
      </w:pPr>
      <w:r>
        <w:t xml:space="preserve">Предприниматели получают возможность возместить до 35 процентов затрат на покупку оборудования и до 11,5 процентов годовых на выплаты по кредитам.</w:t>
      </w:r>
    </w:p>
    <w:p>
      <w:pPr>
        <w:pStyle w:val="BodyText"/>
      </w:pPr>
      <w:r>
        <w:t xml:space="preserve">Поддержку от города уже получили: производитель шоколада из Московского инновационного кластера, инженерно-технический центр, производящий оборудование для бассейнов и фабрика цифровой печати на натуральных тканях – резидент технопарка «Калибр».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http://basman.mos.ru/presscenter/news/detail/10390170.html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0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0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2023-08-23T09:35:54Z</dcterms:created>
  <dcterms:modified xsi:type="dcterms:W3CDTF">2023-08-23T09:35:54Z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