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0d36b597b0737ace754dd0996da83540d9680"/>
    <w:p>
      <w:pPr>
        <w:pStyle w:val="Heading3"/>
      </w:pPr>
      <w:r>
        <w:t xml:space="preserve">Столичные власти одобрили субсидии и гранты для предпринимателей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В этом году предприниматели Москвы получат материальную поддержку на общую сумму свыше двух миллиардов рублей.</w:t>
      </w:r>
    </w:p>
    <w:p>
      <w:pPr>
        <w:pStyle w:val="BodyText"/>
      </w:pPr>
      <w:r>
        <w:t xml:space="preserve">Субсидии и гранты для экспортеров стали самыми востребованным видом выплат. Их чаще всего запрашивали производители машин и оборудования, научно-исследовательские организации и компании по продаже непродовольственных товаров.</w:t>
      </w:r>
    </w:p>
    <w:p>
      <w:pPr>
        <w:pStyle w:val="BodyText"/>
      </w:pPr>
      <w:r>
        <w:t xml:space="preserve">Также наиболее активными получателями становятся рестораны, научно-исследовательские организации и технологические компании, отметила заместитель мэра Москвы в Правительстве Москвы Наталья Сергунина.</w:t>
      </w:r>
    </w:p>
    <w:p>
      <w:pPr>
        <w:pStyle w:val="BodyText"/>
      </w:pPr>
      <w:r>
        <w:t xml:space="preserve">В последние недели наблюдается значительное увеличение числа рассматриваемых заявок на получение мер поддержки. В октябрь и начале ноября одобрили треть всех заявок с начала года: 673 обращения на 552,2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http://basman.mos.ru/presscenter/news/detail/10394154.html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4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4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2023-08-23T09:35:49Z</dcterms:created>
  <dcterms:modified xsi:type="dcterms:W3CDTF">2023-08-23T09:35:49Z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