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1f10a2822b30bd97fafaaaf03f1767dcfb74d0"/>
    <w:p>
      <w:pPr>
        <w:pStyle w:val="Heading3"/>
      </w:pPr>
      <w:r>
        <w:t xml:space="preserve">Эксперты высоко оценили деятельность Московского инновационного кластера</w:t>
      </w:r>
    </w:p>
    <w:p>
      <w:pPr>
        <w:pStyle w:val="FirstParagraph"/>
      </w:pPr>
      <w:r>
        <w:t xml:space="preserve">18.11.2021</w:t>
      </w:r>
    </w:p>
    <w:p>
      <w:pPr>
        <w:pStyle w:val="BodyText"/>
      </w:pPr>
      <w:r>
        <w:t xml:space="preserve">Правительство Москвы заняло второе место среди государственных структур на международном конкурсе Global ICT Excellence Awards в номинации «Стартап-экосистема».</w:t>
      </w:r>
    </w:p>
    <w:p>
      <w:pPr>
        <w:pStyle w:val="BodyText"/>
      </w:pPr>
      <w:r>
        <w:t xml:space="preserve">Полученный приз является результатом слаженной работы специалистов городских учреждений и профессионального сообщества, подчеркнула заместитель мэра Москвы в Правительстве Москвы Наталья Сергунина.</w:t>
      </w:r>
    </w:p>
    <w:p>
      <w:pPr>
        <w:pStyle w:val="BodyText"/>
      </w:pPr>
      <w:r>
        <w:t xml:space="preserve">Для Московского инновационного кластера создана целая экосистема, которая включает технопарки со всей необходимой инфраструктурой, образовательные и акселерационные программы, отраслевые конкурсы, уникальную в мировой практике программу пилотного тестирования инноваций.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http://basman.mos.ru/presscenter/news/detail/10405091.html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04050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04050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2023-08-23T09:35:39Z</dcterms:created>
  <dcterms:modified xsi:type="dcterms:W3CDTF">2023-08-23T09:35:39Z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