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1d99394e8d3dee8dd57e10eced8dfb6eafcd"/>
    <w:p>
      <w:pPr>
        <w:pStyle w:val="Heading3"/>
      </w:pPr>
      <w:r>
        <w:t xml:space="preserve">Почти на 25 процентов вырос объем промышленного производства в Москве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t xml:space="preserve">За девять месяцев текущего года в Москве объем промышленного вырос почти на четверть. Высокий рост наблюдается в химической и пищевой промышленности, а также быстрый темп прироста в производстве бумаги, текстильных изделий и электрооборудования.</w:t>
      </w:r>
    </w:p>
    <w:p>
      <w:pPr>
        <w:pStyle w:val="BodyText"/>
      </w:pPr>
      <w:r>
        <w:t xml:space="preserve">Так, в легкой промышленности хорошие результаты демонстрирует производство текстильных изделий. В столице активно работают несколько фабрик.</w:t>
      </w:r>
    </w:p>
    <w:p>
      <w:pPr>
        <w:pStyle w:val="BodyText"/>
      </w:pPr>
      <w:r>
        <w:t xml:space="preserve">Также динамичные показатели наблюдаются в производстве товаров бытовой химии, сегмент вырос почти на 46 процентов.</w:t>
      </w:r>
    </w:p>
    <w:p>
      <w:pPr>
        <w:pStyle w:val="BodyText"/>
      </w:pPr>
      <w:r>
        <w:t xml:space="preserve">Выпуск бумаги и бумажных изделий возрос более чем на 82 процента.</w:t>
      </w:r>
    </w:p>
    <w:p>
      <w:pPr>
        <w:pStyle w:val="BodyText"/>
      </w:pPr>
      <w:r>
        <w:t xml:space="preserve">Успешное развитие происходит благодаря городской программе поддержки промышленности, которая позволяет сохранять положительную динамику выпуска продукции и стимулирует предприятия инвестировать в свое развитие.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http://basman.mos.ru/presscenter/news/detail/10443438.html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43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43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2025-01-17T17:37:17Z</dcterms:created>
  <dcterms:modified xsi:type="dcterms:W3CDTF">2025-01-17T17:37:17Z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