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48fd54e5655d140f0c61c9c71745704085b2"/>
    <w:p>
      <w:pPr>
        <w:pStyle w:val="Heading3"/>
      </w:pPr>
      <w:r>
        <w:t xml:space="preserve">Власти Москвы помогают предпринимателям города развивать бизнес онлайн по всему миру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Московский экспортный центр предоставляет столичным предпринимателям возможность реализации товаров на крупнейших азиатских и европейских маркетплейсах. В этом году городская поддержка экспорта в азиатском направлении была увеличена.</w:t>
      </w:r>
    </w:p>
    <w:p>
      <w:pPr>
        <w:pStyle w:val="BodyText"/>
      </w:pPr>
      <w:r>
        <w:t xml:space="preserve">Благодаря такой помощи городские предприниматели вошли в число 230 компаний, имеющих брендированный аккаунт на крупнейших электронных площадках Китая.</w:t>
      </w:r>
    </w:p>
    <w:p>
      <w:pPr>
        <w:pStyle w:val="BodyText"/>
      </w:pPr>
      <w:r>
        <w:t xml:space="preserve">МЭЦ также поддерживает тренд на онлайн-торговлю и помогает предпринимателям провести первую для компании экспортную сделку и нарастить существующий объем поставок за рубеж.</w:t>
      </w:r>
    </w:p>
    <w:p>
      <w:pPr>
        <w:pStyle w:val="BodyText"/>
      </w:pPr>
      <w:r>
        <w:t xml:space="preserve">Стоит отметить, что для предприятий доступны более 50 онлайн-площадок.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http://basman.mos.ru/presscenter/news/detail/10455053.html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5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5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2025-01-03T12:49:11Z</dcterms:created>
  <dcterms:modified xsi:type="dcterms:W3CDTF">2025-01-03T12:49:11Z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