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3047ce4b40f1241f8ee63d12d14a7c7000e1e6"/>
    <w:p>
      <w:pPr>
        <w:pStyle w:val="Heading3"/>
      </w:pPr>
      <w:r>
        <w:t xml:space="preserve">Беззаявительный порядок представления физическим лицам льгот по имущественным налогам</w:t>
      </w:r>
    </w:p>
    <w:p>
      <w:pPr>
        <w:pStyle w:val="FirstParagraph"/>
      </w:pPr>
      <w:r>
        <w:t xml:space="preserve">26.01.2022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Для отдельных категорий граждан, указанных в подпунктах 2, 3, 10, 10.1, 12, 15 пункта 1 статьи 407, подпунктах 2 - 4, 7 - 10 пункта 5 статьи 391 Налогового кодекса Российской Федерации 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 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  <w:r>
        <w:t xml:space="preserve"> 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  <w:r>
        <w:t xml:space="preserve"> 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  <w:r>
        <w:t xml:space="preserve"> 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 14.11.2017 № ММВ-7-21/897@.</w:t>
      </w:r>
      <w:r>
        <w:t xml:space="preserve"> 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  <w:r>
        <w:t xml:space="preserve"> 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2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http://basman.mos.ru/presscenter/news/detail/10581388.html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581388.html" TargetMode="External" /><Relationship Type="http://schemas.openxmlformats.org/officeDocument/2006/relationships/hyperlink" Id="rId20" Target="http://www.nalog.gov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581388.html" TargetMode="External" /><Relationship Type="http://schemas.openxmlformats.org/officeDocument/2006/relationships/hyperlink" Id="rId20" Target="http://www.nalog.gov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2024-08-17T14:47:06Z</dcterms:created>
  <dcterms:modified xsi:type="dcterms:W3CDTF">2024-08-17T14:47:06Z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