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02a43c84b6e5363e59f4ce5d1ec753528d90e"/>
    <w:p>
      <w:pPr>
        <w:pStyle w:val="Heading3"/>
      </w:pPr>
      <w:r>
        <w:t xml:space="preserve">С 2023 года отменяется отчетность в отношении недвижимости, налог по которой рассчитывается исходя из ее кадастровой стоимости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  <w:r>
        <w:t xml:space="preserve"> 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http://basman.mos.ru/presscenter/news/detail/10581557.html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581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2025-02-28T17:47:22Z</dcterms:created>
  <dcterms:modified xsi:type="dcterms:W3CDTF">2025-02-28T17:47:22Z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