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77172576ef35caabd72f92d4767cc332f61d"/>
    <w:p>
      <w:pPr>
        <w:pStyle w:val="Heading3"/>
      </w:pPr>
      <w:r>
        <w:t xml:space="preserve">ИФНС напоминает: налоговая льгота на имущество организаций за 2021 год может быть заявлена только путем подачи декларации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http://basman.mos.ru/presscenter/news/detail/10581589.html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2025-06-21T19:44:19Z</dcterms:created>
  <dcterms:modified xsi:type="dcterms:W3CDTF">2025-06-21T19:44:19Z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