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127bcd3d029a24d3ccbcbc909e6689e647b25"/>
    <w:p>
      <w:pPr>
        <w:pStyle w:val="Heading3"/>
      </w:pPr>
      <w:r>
        <w:t xml:space="preserve">Пик весеннего половодья миновал в столице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t xml:space="preserve">Заместитель мэра Москвы по вопросам жилищно-коммунального хозяйства и благоустройства Петр Бирюков сообщил, что в городе пройден пик весеннего половодья.</w:t>
      </w:r>
    </w:p>
    <w:p>
      <w:pPr>
        <w:pStyle w:val="BodyText"/>
      </w:pPr>
      <w:r>
        <w:t xml:space="preserve">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уточнили, что уровень наполненности водохранилищ составляет около 80 процентов.</w:t>
      </w:r>
    </w:p>
    <w:p>
      <w:pPr>
        <w:pStyle w:val="BodyText"/>
      </w:pPr>
      <w:r>
        <w:t xml:space="preserve">— В настоящее время водохранилища Москворецкой водной системы заполнены на 77 процентов, Вазузской — на 82 процента, объем сброса держится на уровне 76 кубических метров в секунду, — уточнил вице-мэр.</w:t>
      </w:r>
    </w:p>
    <w:p>
      <w:pPr>
        <w:pStyle w:val="BodyText"/>
      </w:pPr>
      <w:r>
        <w:t xml:space="preserve">Добавим, что до конца половодья ожидается приток воды в пределах 120–140 миллионов кубометров. Городские службы заранее подготовили водохранилища и утвердили регламент взаимодействия в период прохождения половодья и паводка.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http://basman.mos.ru/presscenter/news/detail/10760554.html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60554.html" TargetMode="External" /><Relationship Type="http://schemas.openxmlformats.org/officeDocument/2006/relationships/hyperlink" Id="rId20" Target="https://www.mos.ru/news/item/10545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60554.html" TargetMode="External" /><Relationship Type="http://schemas.openxmlformats.org/officeDocument/2006/relationships/hyperlink" Id="rId20" Target="https://www.mos.ru/news/item/10545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2024-12-10T04:49:02Z</dcterms:created>
  <dcterms:modified xsi:type="dcterms:W3CDTF">2024-12-10T04:49:02Z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