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f502a8a01be483e05de1a71ba4ad2005e2470c7"/>
    <w:p>
      <w:pPr>
        <w:pStyle w:val="Heading3"/>
      </w:pPr>
      <w:r>
        <w:t xml:space="preserve">Налоговая служба 27 января проведет вебинар на тему «Порядок заполнения платежных документов в условиях работы ЕНС»</w:t>
      </w:r>
    </w:p>
    <w:p>
      <w:pPr>
        <w:pStyle w:val="FirstParagraph"/>
      </w:pPr>
      <w:r>
        <w:t xml:space="preserve">18.01.2023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http://basman.mos.ru/presscenter/news/detail/11352026.html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Басманного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asman.mos.ru" TargetMode="External" /><Relationship Type="http://schemas.openxmlformats.org/officeDocument/2006/relationships/hyperlink" Id="rId20" Target="http://basman.mos.ru/presscenter/news/detail/1135202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asman.mos.ru" TargetMode="External" /><Relationship Type="http://schemas.openxmlformats.org/officeDocument/2006/relationships/hyperlink" Id="rId20" Target="http://basman.mos.ru/presscenter/news/detail/1135202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2023-08-23T08:07:43Z</dcterms:created>
  <dcterms:modified xsi:type="dcterms:W3CDTF">2023-08-23T08:07:43Z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