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8e6b21c6e86ff79f31da758a674f3ccb0465e"/>
    <w:p>
      <w:pPr>
        <w:pStyle w:val="Heading3"/>
      </w:pPr>
      <w:r>
        <w:t xml:space="preserve">Заявительный порядок предоставления налоговых льгот по транспортному и земельному налогам организаций</w:t>
      </w:r>
    </w:p>
    <w:p>
      <w:pPr>
        <w:pStyle w:val="FirstParagraph"/>
      </w:pPr>
      <w:r>
        <w:t xml:space="preserve">24.01.2023</w:t>
      </w:r>
    </w:p>
    <w:p>
      <w:pPr>
        <w:pStyle w:val="BodyText"/>
      </w:pPr>
      <w:r>
        <w:rPr>
          <w:bCs/>
          <w:b/>
        </w:rPr>
        <w:t xml:space="preserve">Организациям, которые имеют право на льготы по транспортному или земельному налогу,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налогу.</w:t>
      </w:r>
      <w:r>
        <w:rPr>
          <w:bCs/>
          <w:b/>
        </w:rPr>
        <w:t xml:space="preserve"> </w:t>
      </w:r>
    </w:p>
    <w:p>
      <w:pPr>
        <w:pStyle w:val="BodyText"/>
      </w:pPr>
      <w:r>
        <w:t xml:space="preserve">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2022 год организации целесообразно представить в течение I квартала 2023 года.</w:t>
      </w:r>
    </w:p>
    <w:p>
      <w:pPr>
        <w:pStyle w:val="BodyText"/>
      </w:pPr>
      <w:r>
        <w:t xml:space="preserve">Сообщение об исчисленных суммах транспортного и (или) земельного налога, налога на имущество организаций (далее – Сообщение) составляется на основе информации, имеющейся у налогового органа, в том числе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</w:t>
      </w:r>
      <w:r>
        <w:t xml:space="preserve"> </w:t>
      </w:r>
    </w:p>
    <w:p>
      <w:pPr>
        <w:pStyle w:val="BodyText"/>
      </w:pPr>
      <w:r>
        <w:t xml:space="preserve">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направляет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http://basman.mos.ru/presscenter/news/detail/11364110.html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364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364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2024-02-28T17:33:14Z</dcterms:created>
  <dcterms:modified xsi:type="dcterms:W3CDTF">2024-02-28T17:33:14Z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