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диный-налоговый-счет-енс"/>
    <w:p>
      <w:pPr>
        <w:pStyle w:val="Heading3"/>
      </w:pPr>
      <w:r>
        <w:t xml:space="preserve">«Единый налоговый счет (ЕНС)»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0a/z53e0iu1msnfppnhorn22z071kuaq4fk/65fd556c82682c6552f88db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Куприянова, «Вечерняя Москва»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25 июля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—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• преимущества ЕНС;</w:t>
      </w:r>
    </w:p>
    <w:p>
      <w:pPr>
        <w:pStyle w:val="BodyText"/>
      </w:pPr>
      <w:r>
        <w:t xml:space="preserve">• что такое единый налоговый платеж и счет;</w:t>
      </w:r>
    </w:p>
    <w:p>
      <w:pPr>
        <w:pStyle w:val="BodyText"/>
      </w:pPr>
      <w:r>
        <w:t xml:space="preserve">•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http://basman.mos.ru/presscenter/news/detail/12479482.html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79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79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2024-12-08T13:42:28Z</dcterms:created>
  <dcterms:modified xsi:type="dcterms:W3CDTF">2024-12-08T13:42:28Z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