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Налоговые уведомления, направленные в 2024 году, содержат расчет налогов имущественных налогов физических лиц за налоговый период 2023 года. При этом, по сравнению с предыдущим налоговым периодом произошли следующие основные изменения.</w:t>
      </w:r>
    </w:p>
    <w:p>
      <w:pPr>
        <w:pStyle w:val="BodyText"/>
      </w:pPr>
      <w:r>
        <w:t xml:space="preserve">Транспортный налог</w:t>
      </w:r>
    </w:p>
    <w:p>
      <w:pPr>
        <w:pStyle w:val="BodyText"/>
      </w:pPr>
      <w:r>
        <w:t xml:space="preserve">-</w:t>
      </w:r>
      <w:r>
        <w:t xml:space="preserve">       </w:t>
      </w:r>
      <w:r>
        <w:t xml:space="preserve">при расчете налога применен Перечень легковых автомобилей средней стоимостью от 10 млн руб. за 2023 год, размещенный на официальном сайте Минпромторга России. Для налогообложения с применением повышающего коэффициента 3 используются позиции Перечня для легковых автомобилей средней стоимостью от 10 млн. до 15 млн. рублей, с года выпуска которых прошло не более 10 лет, и средней стоимостью от 15 млн. рублей, с года выпуска которых прошло не более 20 лет.</w:t>
      </w:r>
    </w:p>
    <w:p>
      <w:pPr>
        <w:pStyle w:val="BodyText"/>
      </w:pPr>
      <w:r>
        <w:t xml:space="preserve">Земельный налог</w:t>
      </w:r>
    </w:p>
    <w:p>
      <w:pPr>
        <w:pStyle w:val="BodyText"/>
      </w:pPr>
      <w:r>
        <w:t xml:space="preserve">- применены ограничения роста налоговой базы в соответствии с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Федерации». В частности, в случае увеличения кадастровой стоимости земельного участка на 01.01.2023 (в том числе в результате проведения в 2022 году нового тура государственной кадастровой оценки земель и утверждения его результатов) для расчета налога за налоговый период 2023 года применена кадастровая стоимость земельного участка, внесенная в Единый государственный реестр недвижимости по состоянию на 01.01.2022, за исключением случаев, если кадастровая стоимость земельного участка увеличилась вследствие изменения его характеристик.</w:t>
      </w:r>
    </w:p>
    <w:p>
      <w:pPr>
        <w:pStyle w:val="BodyText"/>
      </w:pPr>
      <w:r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Росреестра.</w:t>
      </w:r>
    </w:p>
    <w:p>
      <w:pPr>
        <w:pStyle w:val="BodyText"/>
      </w:pPr>
      <w:r>
        <w:t xml:space="preserve">Налог на имущество физических лиц</w:t>
      </w:r>
    </w:p>
    <w:p>
      <w:pPr>
        <w:pStyle w:val="BodyText"/>
      </w:pPr>
      <w:r>
        <w:t xml:space="preserve">- для расчета налога за налоговый период 2023 года применена кадастровая стоимость объектов недвижимости, при этом для исчисления налога использованы коэффициенты:</w:t>
      </w:r>
    </w:p>
    <w:p>
      <w:pPr>
        <w:pStyle w:val="BodyText"/>
      </w:pPr>
      <w:r>
        <w:t xml:space="preserve">•</w:t>
      </w:r>
      <w:r>
        <w:t xml:space="preserve">       </w:t>
      </w:r>
      <w:r>
        <w:t xml:space="preserve">10-типроцентного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п.7 ст. 378.2 НК РФ, а также объектов, предусмотренных абз. 2 п. 10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</w:t>
      </w:r>
      <w:r>
        <w:t xml:space="preserve">       </w:t>
      </w:r>
      <w:r>
        <w:t xml:space="preserve">0.6 в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(за исключением объектов, включенных в перечень, определяемый в соответствии с п.7 ст. 378.2 НК РФ, а также объектов, предусмотренных п.7 ст. 378.2 НК РФ, кроме гаражей и машино-мест, расположенных в таких объектах налогообложения);</w:t>
      </w:r>
    </w:p>
    <w:p>
      <w:pPr>
        <w:pStyle w:val="BodyText"/>
      </w:pPr>
      <w:r>
        <w:t xml:space="preserve">•</w:t>
      </w:r>
      <w:r>
        <w:t xml:space="preserve">       </w:t>
      </w:r>
      <w:r>
        <w:t xml:space="preserve">0.6 (в 2023 году был 0.4) – для г. Севастополя, где кадастровая стоимость применяется в качестве налоговой базы третий год;</w:t>
      </w:r>
    </w:p>
    <w:p>
      <w:pPr>
        <w:pStyle w:val="BodyText"/>
      </w:pPr>
      <w:r>
        <w:t xml:space="preserve"> 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</w:t>
      </w:r>
    </w:p>
    <w:p>
      <w:pPr>
        <w:pStyle w:val="BodyText"/>
      </w:pPr>
      <w:r>
        <w:t xml:space="preserve"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в контакт-центре ФНС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http://basman.mos.ru/presscenter/news/detail/12594854.html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594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594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2025-02-21T14:17:57Z</dcterms:created>
  <dcterms:modified xsi:type="dcterms:W3CDTF">2025-02-21T14:17:57Z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