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e8052b93915dbb3f7d9693c3d029186ccf250"/>
    <w:p>
      <w:pPr>
        <w:pStyle w:val="Heading3"/>
      </w:pPr>
      <w:r>
        <w:t xml:space="preserve">Несколько парковочных мест в районе выставили на торги</w:t>
      </w:r>
    </w:p>
    <w:p>
      <w:pPr>
        <w:pStyle w:val="FirstParagraph"/>
      </w:pPr>
      <w:r>
        <w:t xml:space="preserve">21.11.2024</w:t>
      </w:r>
    </w:p>
    <w:p>
      <w:pPr>
        <w:pStyle w:val="BodyText"/>
      </w:pPr>
      <w:r>
        <w:t xml:space="preserve">21.11.2024</w:t>
      </w:r>
    </w:p>
    <w:p>
      <w:pPr>
        <w:pStyle w:val="BodyText"/>
      </w:pPr>
      <w:r>
        <w:t xml:space="preserve">Город выставил на торги три парковочных места в районе.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Три парковочных места в подземных паркингах Басманного района выставили на торги 20 ноября.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сообщению пресс-службы Департамента города Москвы по конкурентной политике, лоты располагаются на Бауманской улице. Покупку можно реализовать посредством аукционов в электронной форме, которые состоятся в период с 17 декабря по 23 января в зависимости от выбранного машинного-места.</w:t>
      </w:r>
    </w:p>
    <w:p>
      <w:pPr>
        <w:pStyle w:val="BodyText"/>
      </w:pPr>
      <w:r>
        <w:t xml:space="preserve">Для участия в торгах понадобится регистрация на цифровой торговой площадке «Росэлторг» и усиленная квалифицированная электронная подпись. В период с 9 декабря по 14 января нужно подать свое заявление на участие. Вся необходимая информация о лотах публикуется в разделе «Имущество от города».</w:t>
      </w:r>
    </w:p>
    <w:p>
      <w:pPr>
        <w:pStyle w:val="BodyText"/>
      </w:pPr>
      <w:r>
        <w:t xml:space="preserve">В пресс-службе уточнили, что за 10 месяцев 2024 года девелоперы приобрели у города свыше 8,5 тысячи парковочных мест в разных округах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http://basman.mos.ru/presscenter/news/detail/12677743.html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677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677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2025-08-05T14:42:44Z</dcterms:created>
  <dcterms:modified xsi:type="dcterms:W3CDTF">2025-08-05T14:42:44Z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