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7013857432f20d608396334fc567824dbe141"/>
    <w:p>
      <w:pPr>
        <w:pStyle w:val="Heading3"/>
      </w:pPr>
      <w:r>
        <w:t xml:space="preserve">Вопросы, рассмотренные 20 ноября на вебинаре «Ошибки, допускаемые при заполнении ПП»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1. На какой налог начисляются пени?</w:t>
      </w:r>
    </w:p>
    <w:p>
      <w:pPr>
        <w:pStyle w:val="BodyText"/>
      </w:pPr>
      <w:r>
        <w:t xml:space="preserve">Ответ: В соответствии с Федеральным законом от 14.07.2022 N 263-ФЗ с 01.01.2023г. введен единый налоговый платеж (ЕНП). Основное изменение при этом - объединение налоговых платежей на едином налоговом счете (ЕНС). В соответствии с п.4 ст.75 НК РФ пеня за каждый календарный день просрочки исполнения обязанности начисляется в отношении суммы отрицательного сальдо единого налогового счета, сформированного в связи с неисполненной обязанностью по уплате налогов.</w:t>
      </w:r>
    </w:p>
    <w:p>
      <w:pPr>
        <w:pStyle w:val="BodyText"/>
      </w:pPr>
      <w:r>
        <w:t xml:space="preserve">2. На какой КБК оплачивать пени?</w:t>
      </w:r>
    </w:p>
    <w:p>
      <w:pPr>
        <w:pStyle w:val="BodyText"/>
      </w:pPr>
      <w:r>
        <w:t xml:space="preserve">Ответ: КБК для оплаты единый, так как нужно оплатить недоимку ЕНС (единого налогового счета). Соответственно и оплату налога и оплату пени нужно производить на одни и те же реквизиты.</w:t>
      </w:r>
    </w:p>
    <w:p>
      <w:pPr>
        <w:pStyle w:val="BodyText"/>
      </w:pPr>
      <w:r>
        <w:t xml:space="preserve">3. Где я могу увидеть своё сальдо?</w:t>
      </w:r>
    </w:p>
    <w:p>
      <w:pPr>
        <w:pStyle w:val="BodyText"/>
      </w:pPr>
      <w:r>
        <w:t xml:space="preserve">Ответ: В личном кабинете налогоплательщика, онлайн в своей учетно бухгалтерской системе или заказать справку о наличии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 (КНД 1160082).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http://basman.mos.ru/presscenter/news/detail/12679113.html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679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679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2025-06-10T07:12:03Z</dcterms:created>
  <dcterms:modified xsi:type="dcterms:W3CDTF">2025-06-10T07:12:03Z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