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c3c5e3266106250ecf21401cfaa50370afe7a"/>
    <w:p>
      <w:pPr>
        <w:pStyle w:val="Heading3"/>
      </w:pPr>
      <w:r>
        <w:t xml:space="preserve">Осенние каникулы: интерактивные программы и экскурсионный тур</w:t>
      </w:r>
    </w:p>
    <w:p>
      <w:pPr>
        <w:pStyle w:val="FirstParagraph"/>
      </w:pPr>
      <w:r>
        <w:t xml:space="preserve">08.10.2014</w:t>
      </w:r>
    </w:p>
    <w:p>
      <w:pPr>
        <w:pStyle w:val="BodyText"/>
      </w:pPr>
      <w:r>
        <w:t xml:space="preserve">В целях организации качественного отдыха и культурного досуга детей города Москвы в период осенних каникул и праздничных дней подведомственное учреждение Департамента культуры города Москвы – Государственное автономное учреждение культуры «Московское агентство организации отдыха и туризма» (ГАУК «Мосгортур») организовывает интерактивные программы и экскурсионный тур на коммерческой основе.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http://basman.mos.ru/presscenter/news/detail/1334925.html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34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34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2024-08-28T05:34:19Z</dcterms:created>
  <dcterms:modified xsi:type="dcterms:W3CDTF">2024-08-28T05:34:19Z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