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ac265931d8d6c1d2ffd012ba999f3fd9bf3a"/>
    <w:p>
      <w:pPr>
        <w:pStyle w:val="Heading3"/>
      </w:pPr>
      <w:r>
        <w:t xml:space="preserve">Об изменениях, внесенных в Федеральный закон № 212-ФЗ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rPr>
          <w:bCs/>
          <w:b/>
        </w:rPr>
        <w:t xml:space="preserve">Уважаемые страхователи – работодатели!</w:t>
      </w:r>
    </w:p>
    <w:p>
      <w:pPr>
        <w:pStyle w:val="BodyText"/>
      </w:pPr>
      <w:r>
        <w:t xml:space="preserve">ГУ – Главное управление ПФР № 10 по г. Москве и Московской области информирует об изменениях, внесенных в Федеральный закон от 24.07.2009 г.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вступающие в силу с 01.01.2015 года.</w:t>
      </w:r>
    </w:p>
    <w:p>
      <w:pPr>
        <w:pStyle w:val="BodyText"/>
      </w:pPr>
      <w:r>
        <w:rPr>
          <w:bCs/>
          <w:b/>
        </w:rPr>
        <w:t xml:space="preserve">1. Изменяется среднесписочная численность организаций, обязанных представлять отчетность в электронном виде.</w:t>
      </w:r>
      <w:r>
        <w:t xml:space="preserve"> </w:t>
      </w:r>
      <w:r>
        <w:t xml:space="preserve">Плательщики страховых взносов, у которых</w:t>
      </w:r>
      <w:r>
        <w:t xml:space="preserve"> </w:t>
      </w:r>
      <w:r>
        <w:rPr>
          <w:bCs/>
          <w:b/>
        </w:rPr>
        <w:t xml:space="preserve">среднесписочная численность физических лиц</w:t>
      </w:r>
      <w:r>
        <w:t xml:space="preserve">, в пользу которых производятся выплаты и иные вознаграждения, за предшествующий расчетный период</w:t>
      </w:r>
      <w:r>
        <w:t xml:space="preserve"> </w:t>
      </w:r>
      <w:r>
        <w:rPr>
          <w:bCs/>
          <w:b/>
        </w:rPr>
        <w:t xml:space="preserve">превышает 25 человек</w:t>
      </w:r>
      <w:r>
        <w:t xml:space="preserve">, а также вновь созданные (в том числе при реорганизации) организации, у которых численность указанных физических лиц превышает данный предел, представляют расчеты по начисленным и уплаченным страховым взносам</w:t>
      </w:r>
      <w:r>
        <w:t xml:space="preserve"> </w:t>
      </w:r>
      <w:r>
        <w:rPr>
          <w:bCs/>
          <w:b/>
        </w:rPr>
        <w:t xml:space="preserve">в форме электронных документов, подписанных усиленной квалифицированной электронной подписью.</w:t>
      </w:r>
    </w:p>
    <w:p>
      <w:pPr>
        <w:pStyle w:val="BodyText"/>
      </w:pPr>
      <w:r>
        <w:rPr>
          <w:bCs/>
          <w:b/>
        </w:rPr>
        <w:t xml:space="preserve">2. Изменяются сроки представления отчетности.</w:t>
      </w:r>
    </w:p>
    <w:p>
      <w:pPr>
        <w:pStyle w:val="BodyText"/>
      </w:pPr>
      <w:r>
        <w:t xml:space="preserve">Плательщики страховых взносов ежеквартально представляют отчетность в территориальный орган ПФР:</w:t>
      </w:r>
    </w:p>
    <w:p>
      <w:pPr>
        <w:pStyle w:val="BodyText"/>
      </w:pPr>
      <w:r>
        <w:rPr>
          <w:bCs/>
          <w:b/>
        </w:rPr>
        <w:t xml:space="preserve">на бумажном носителе – не позднее 15 числа второго календарного месяца</w:t>
      </w:r>
      <w:r>
        <w:t xml:space="preserve">, следующего за отчетным периодом,</w:t>
      </w:r>
    </w:p>
    <w:p>
      <w:pPr>
        <w:pStyle w:val="BodyText"/>
      </w:pPr>
      <w:r>
        <w:rPr>
          <w:bCs/>
          <w:b/>
        </w:rPr>
        <w:t xml:space="preserve">в форме электронного документа – не позднее 20 числа второго календарного месяца,</w:t>
      </w:r>
      <w:r>
        <w:t xml:space="preserve"> </w:t>
      </w:r>
      <w:r>
        <w:t xml:space="preserve">следующего за отчетным периодом.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Тарифы страховых взносов на период 2015 – 2017 г.г. не изменяются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Пенсионный фонд Российской Федерации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22,0%</w:t>
      </w:r>
      <w:r>
        <w:t xml:space="preserve"> </w:t>
      </w:r>
      <w:r>
        <w:t xml:space="preserve">в пределах установленной предельной величины базы для начисления страховых взносов на обязательное пенсионное страхование;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10,0%</w:t>
      </w:r>
      <w:r>
        <w:t xml:space="preserve"> </w:t>
      </w:r>
      <w:r>
        <w:t xml:space="preserve">свыше установленной предельной величины базы для начисления страховых взносов на обязательное пенсионное страхование.</w:t>
      </w:r>
    </w:p>
    <w:p>
      <w:pPr>
        <w:pStyle w:val="BodyText"/>
      </w:pPr>
      <w:r>
        <w:rPr>
          <w:bCs/>
          <w:b/>
        </w:rPr>
        <w:t xml:space="preserve">В Федеральный фонд обязательного медицинского страхования</w:t>
      </w:r>
    </w:p>
    <w:p>
      <w:pPr>
        <w:pStyle w:val="BodyText"/>
      </w:pPr>
      <w:r>
        <w:rPr>
          <w:bCs/>
          <w:b/>
        </w:rPr>
        <w:t xml:space="preserve">- 5,1%</w:t>
      </w:r>
    </w:p>
    <w:p>
      <w:pPr>
        <w:pStyle w:val="BodyText"/>
      </w:pPr>
      <w:r>
        <w:rPr>
          <w:iCs/>
          <w:i/>
        </w:rPr>
        <w:t xml:space="preserve">ГУ – Главное управления ПФР №10 по г.Москве и Московской области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http://basman.mos.ru/presscenter/news/detail/1482233.html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48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48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2023-08-23T09:34:07Z</dcterms:created>
  <dcterms:modified xsi:type="dcterms:W3CDTF">2023-08-23T09:34:07Z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